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190F9" w14:textId="77777777" w:rsidR="005F3A73" w:rsidRPr="003B14E9" w:rsidRDefault="005F3A73" w:rsidP="005F3A73">
      <w:pPr>
        <w:jc w:val="both"/>
        <w:rPr>
          <w:b/>
          <w:sz w:val="18"/>
          <w:szCs w:val="18"/>
          <w:lang w:val="ro-MD"/>
        </w:rPr>
      </w:pPr>
      <w:bookmarkStart w:id="0" w:name="_GoBack"/>
      <w:bookmarkEnd w:id="0"/>
      <w:r w:rsidRPr="003B14E9">
        <w:rPr>
          <w:b/>
          <w:sz w:val="18"/>
          <w:szCs w:val="18"/>
          <w:lang w:val="ro-MD"/>
        </w:rPr>
        <w:t xml:space="preserve">                                                                                                                                                                                                                                                                                                                                                                                                                                                           Tabelul de concordanţă </w:t>
      </w:r>
    </w:p>
    <w:p w14:paraId="73E36AB5" w14:textId="77777777" w:rsidR="005F3A73" w:rsidRPr="003B14E9" w:rsidRDefault="005F3A73" w:rsidP="005F3A73">
      <w:pPr>
        <w:jc w:val="both"/>
        <w:rPr>
          <w:b/>
          <w:sz w:val="18"/>
          <w:szCs w:val="18"/>
          <w:lang w:val="ro-MD"/>
        </w:rPr>
      </w:pPr>
    </w:p>
    <w:p w14:paraId="7681A22E" w14:textId="77777777" w:rsidR="005F3A73" w:rsidRPr="003B14E9" w:rsidRDefault="005F3A73" w:rsidP="005F3A73">
      <w:pPr>
        <w:jc w:val="both"/>
        <w:rPr>
          <w:rFonts w:eastAsia="Arial Unicode MS"/>
          <w:b/>
          <w:bCs/>
          <w:sz w:val="18"/>
          <w:szCs w:val="18"/>
          <w:lang w:val="ro-MD"/>
        </w:rPr>
      </w:pPr>
      <w:r w:rsidRPr="003B14E9">
        <w:rPr>
          <w:rFonts w:eastAsia="Arial Unicode MS"/>
          <w:b/>
          <w:bCs/>
          <w:sz w:val="18"/>
          <w:szCs w:val="18"/>
          <w:lang w:val="ro-MD"/>
        </w:rPr>
        <w:t xml:space="preserve">Regulamentul nr. 575/2013 al Parlamentului European și al Consiliului din 26 iunie 2013 </w:t>
      </w:r>
    </w:p>
    <w:p w14:paraId="6637A570" w14:textId="77777777" w:rsidR="005F3A73" w:rsidRPr="003B14E9" w:rsidRDefault="005F3A73" w:rsidP="005F3A73">
      <w:pPr>
        <w:jc w:val="both"/>
        <w:rPr>
          <w:b/>
          <w:sz w:val="18"/>
          <w:szCs w:val="18"/>
          <w:lang w:val="ro-MD"/>
        </w:rPr>
      </w:pPr>
      <w:r w:rsidRPr="003B14E9">
        <w:rPr>
          <w:rFonts w:eastAsia="Arial Unicode MS"/>
          <w:b/>
          <w:bCs/>
          <w:sz w:val="18"/>
          <w:szCs w:val="18"/>
          <w:lang w:val="ro-MD"/>
        </w:rPr>
        <w:t>privind cerințele prudențiale pentru instituțiile de credit și firmele de investiții și de modificare a Regulamentului (UE) nr. 648/2012</w:t>
      </w:r>
    </w:p>
    <w:p w14:paraId="7FD294B9" w14:textId="77777777" w:rsidR="005F3A73" w:rsidRPr="003B14E9" w:rsidRDefault="005F3A73" w:rsidP="005F3A73">
      <w:pPr>
        <w:jc w:val="both"/>
        <w:rPr>
          <w:b/>
          <w:bCs/>
          <w:sz w:val="18"/>
          <w:szCs w:val="18"/>
          <w:lang w:val="ro-MD"/>
        </w:rPr>
      </w:pPr>
    </w:p>
    <w:tbl>
      <w:tblPr>
        <w:tblStyle w:val="TableGrid"/>
        <w:tblW w:w="15021" w:type="dxa"/>
        <w:tblLook w:val="04A0" w:firstRow="1" w:lastRow="0" w:firstColumn="1" w:lastColumn="0" w:noHBand="0" w:noVBand="1"/>
      </w:tblPr>
      <w:tblGrid>
        <w:gridCol w:w="846"/>
        <w:gridCol w:w="14175"/>
      </w:tblGrid>
      <w:tr w:rsidR="005C1753" w:rsidRPr="003B14E9" w14:paraId="4234AB45" w14:textId="77777777" w:rsidTr="005C1753">
        <w:tc>
          <w:tcPr>
            <w:tcW w:w="846" w:type="dxa"/>
            <w:vMerge w:val="restart"/>
          </w:tcPr>
          <w:p w14:paraId="156328E2" w14:textId="11F5ABF9" w:rsidR="005C1753" w:rsidRPr="003B14E9" w:rsidRDefault="005C1753" w:rsidP="005C1753">
            <w:pPr>
              <w:pStyle w:val="ListParagraph"/>
              <w:numPr>
                <w:ilvl w:val="0"/>
                <w:numId w:val="27"/>
              </w:numPr>
              <w:tabs>
                <w:tab w:val="left" w:pos="288"/>
              </w:tabs>
              <w:jc w:val="both"/>
              <w:rPr>
                <w:rFonts w:eastAsia="Arial Unicode MS"/>
                <w:b/>
                <w:bCs/>
                <w:sz w:val="18"/>
                <w:szCs w:val="18"/>
                <w:lang w:val="ro-MD"/>
              </w:rPr>
            </w:pPr>
          </w:p>
        </w:tc>
        <w:tc>
          <w:tcPr>
            <w:tcW w:w="14175" w:type="dxa"/>
          </w:tcPr>
          <w:p w14:paraId="4CA071A5" w14:textId="657A06C9" w:rsidR="005C1753" w:rsidRPr="003B14E9" w:rsidRDefault="005C1753" w:rsidP="005C1753">
            <w:pPr>
              <w:tabs>
                <w:tab w:val="left" w:pos="288"/>
              </w:tabs>
              <w:jc w:val="both"/>
              <w:rPr>
                <w:b/>
                <w:bCs/>
                <w:sz w:val="18"/>
                <w:szCs w:val="18"/>
                <w:lang w:val="ro-MD"/>
              </w:rPr>
            </w:pPr>
            <w:r w:rsidRPr="003B14E9">
              <w:rPr>
                <w:rFonts w:eastAsia="Arial Unicode MS"/>
                <w:b/>
                <w:bCs/>
                <w:sz w:val="18"/>
                <w:szCs w:val="18"/>
                <w:lang w:val="ro-MD"/>
              </w:rPr>
              <w:t>Titlul actului Uniunii Europene, inclusiv cele mai recente amendamente incluse</w:t>
            </w:r>
          </w:p>
        </w:tc>
      </w:tr>
      <w:tr w:rsidR="005C1753" w:rsidRPr="003B14E9" w14:paraId="22BB6EA7" w14:textId="77777777" w:rsidTr="005C1753">
        <w:trPr>
          <w:trHeight w:val="994"/>
        </w:trPr>
        <w:tc>
          <w:tcPr>
            <w:tcW w:w="846" w:type="dxa"/>
            <w:vMerge/>
          </w:tcPr>
          <w:p w14:paraId="3FEFA6A8" w14:textId="77777777" w:rsidR="005C1753" w:rsidRPr="003B14E9" w:rsidRDefault="005C1753" w:rsidP="005F3A73">
            <w:pPr>
              <w:jc w:val="both"/>
              <w:rPr>
                <w:rFonts w:eastAsia="Arial Unicode MS"/>
                <w:bCs/>
                <w:sz w:val="18"/>
                <w:szCs w:val="18"/>
                <w:lang w:val="ro-MD"/>
              </w:rPr>
            </w:pPr>
          </w:p>
        </w:tc>
        <w:tc>
          <w:tcPr>
            <w:tcW w:w="14175" w:type="dxa"/>
            <w:vAlign w:val="center"/>
          </w:tcPr>
          <w:p w14:paraId="799B5838" w14:textId="1824341B" w:rsidR="005C1753" w:rsidRPr="003B14E9" w:rsidRDefault="005C1753" w:rsidP="005F3A73">
            <w:pPr>
              <w:jc w:val="both"/>
              <w:rPr>
                <w:rFonts w:eastAsia="Arial Unicode MS"/>
                <w:bCs/>
                <w:sz w:val="18"/>
                <w:szCs w:val="18"/>
                <w:lang w:val="ro-MD"/>
              </w:rPr>
            </w:pPr>
            <w:r w:rsidRPr="003B14E9">
              <w:rPr>
                <w:rFonts w:eastAsia="Arial Unicode MS"/>
                <w:bCs/>
                <w:sz w:val="18"/>
                <w:szCs w:val="18"/>
                <w:lang w:val="ro-MD"/>
              </w:rPr>
              <w:t>Regulamentul nr. 575/2013 al Parlamentului European și al Consiliului din 26 iunie 2013 privind cerințele prudențiale pentru instituțiile de credit și firmele de investiții și de modificare a Regulamentului (UE) nr. 648/2012, publicat în Jurnalul Oficial al Comunităților Europene (Official Journal) L 176, 27 iunie 2013,</w:t>
            </w:r>
            <w:r w:rsidRPr="003B14E9">
              <w:rPr>
                <w:rFonts w:eastAsia="Arial Unicode MS"/>
                <w:bCs/>
                <w:sz w:val="18"/>
                <w:szCs w:val="18"/>
                <w:lang w:val="ro-RO"/>
              </w:rPr>
              <w:t xml:space="preserve"> astfel cum a fost modificat ultima dată prin Regulamentul (UE) 2017/2395 al Parlamentului European și al Consiliului din 12 decembrie 2017, (în continuare CRR).</w:t>
            </w:r>
            <w:r w:rsidRPr="003B14E9">
              <w:rPr>
                <w:rFonts w:eastAsia="Arial Unicode MS"/>
                <w:bCs/>
                <w:sz w:val="18"/>
                <w:szCs w:val="18"/>
                <w:lang w:val="ro-MD"/>
              </w:rPr>
              <w:t xml:space="preserve"> </w:t>
            </w:r>
          </w:p>
          <w:p w14:paraId="57945A99" w14:textId="77777777" w:rsidR="005C1753" w:rsidRPr="003B14E9" w:rsidRDefault="005C1753" w:rsidP="005F3A73">
            <w:pPr>
              <w:jc w:val="both"/>
              <w:rPr>
                <w:rFonts w:eastAsia="Arial Unicode MS"/>
                <w:bCs/>
                <w:sz w:val="18"/>
                <w:szCs w:val="18"/>
                <w:lang w:val="ro-MD"/>
              </w:rPr>
            </w:pPr>
          </w:p>
          <w:p w14:paraId="71647BF7" w14:textId="77777777" w:rsidR="005C1753" w:rsidRPr="003B14E9" w:rsidRDefault="005C1753" w:rsidP="005F3A73">
            <w:pPr>
              <w:autoSpaceDE w:val="0"/>
              <w:autoSpaceDN w:val="0"/>
              <w:adjustRightInd w:val="0"/>
              <w:jc w:val="both"/>
              <w:rPr>
                <w:rFonts w:eastAsia="Arial Unicode MS"/>
                <w:bCs/>
                <w:sz w:val="18"/>
                <w:szCs w:val="18"/>
                <w:lang w:val="ro-MD"/>
              </w:rPr>
            </w:pPr>
            <w:r w:rsidRPr="003B14E9">
              <w:rPr>
                <w:rFonts w:eastAsia="Arial Unicode MS"/>
                <w:b/>
                <w:bCs/>
                <w:sz w:val="18"/>
                <w:szCs w:val="18"/>
                <w:lang w:val="ro-MD"/>
              </w:rPr>
              <w:t xml:space="preserve">Subiectul </w:t>
            </w:r>
            <w:r w:rsidRPr="003B14E9">
              <w:rPr>
                <w:rFonts w:eastAsia="Arial Unicode MS"/>
                <w:bCs/>
                <w:sz w:val="18"/>
                <w:szCs w:val="18"/>
                <w:lang w:val="ro-MD"/>
              </w:rPr>
              <w:t xml:space="preserve">– Regulamentul nr. 575/2013 conține cerințe prudențiale pentru instituții care se referă strict la funcționarea piețelor serviciilor bancare și financiare. Totodată, Regulamentul nr. 575/2013 stabilește cadrul de reglementare unic la nivel European a cerințelor prudențiale aplicabile instituțiilor de credit și firmelor de investiții. De asemenea, reglementează cerințe minime față de fonduri proprii, expunerile „mari”, lichiditatea, livierul financiar, tratamentul riscului de credit al contrapărții și riscului de ajustare a evaluării creditului etc., precum și dezvoltă tehnici de calul care sunt utilizate pentru calcularea indicatorilor prudențiali respectivi.           </w:t>
            </w:r>
          </w:p>
          <w:p w14:paraId="36F4B183" w14:textId="77777777" w:rsidR="005C1753" w:rsidRPr="003B14E9" w:rsidRDefault="005C1753" w:rsidP="005F3A73">
            <w:pPr>
              <w:autoSpaceDE w:val="0"/>
              <w:autoSpaceDN w:val="0"/>
              <w:adjustRightInd w:val="0"/>
              <w:jc w:val="both"/>
              <w:rPr>
                <w:rFonts w:eastAsia="Arial Unicode MS"/>
                <w:bCs/>
                <w:sz w:val="18"/>
                <w:szCs w:val="18"/>
                <w:lang w:val="ro-MD"/>
              </w:rPr>
            </w:pPr>
            <w:r w:rsidRPr="003B14E9">
              <w:rPr>
                <w:rFonts w:eastAsia="Arial Unicode MS"/>
                <w:b/>
                <w:bCs/>
                <w:sz w:val="18"/>
                <w:szCs w:val="18"/>
                <w:lang w:val="ro-MD"/>
              </w:rPr>
              <w:t>Scopul</w:t>
            </w:r>
            <w:r w:rsidRPr="003B14E9">
              <w:rPr>
                <w:rFonts w:eastAsia="Arial Unicode MS"/>
                <w:bCs/>
                <w:sz w:val="18"/>
                <w:szCs w:val="18"/>
                <w:lang w:val="ro-MD"/>
              </w:rPr>
              <w:t xml:space="preserve"> – Regulamentul nr. 575/2013 are menirea să asigure stabilitatea financiară a operatorilor de pe piețele serviciilor bancare și financiare, precum și un nivel ridicat de protecție a investitorilor și a deponenților. Totodată, regulamentul respectiv urmărește să contribuie în mod determinant la buna funcționare a pieței interne.                .</w:t>
            </w:r>
          </w:p>
          <w:p w14:paraId="644AAEF4" w14:textId="77777777" w:rsidR="005C1753" w:rsidRPr="003B14E9" w:rsidRDefault="005C1753" w:rsidP="005F3A73">
            <w:pPr>
              <w:pStyle w:val="title-doc-first"/>
              <w:autoSpaceDE w:val="0"/>
              <w:autoSpaceDN w:val="0"/>
              <w:adjustRightInd w:val="0"/>
              <w:jc w:val="both"/>
              <w:rPr>
                <w:rFonts w:eastAsia="Arial Unicode MS"/>
                <w:b w:val="0"/>
                <w:sz w:val="18"/>
                <w:szCs w:val="18"/>
                <w:lang w:val="ro-MD" w:eastAsia="ru-RU"/>
              </w:rPr>
            </w:pPr>
          </w:p>
          <w:p w14:paraId="5F28290B" w14:textId="2D11DC9C" w:rsidR="005C1753" w:rsidRPr="003B14E9" w:rsidRDefault="005C1753" w:rsidP="005C1753">
            <w:pPr>
              <w:pStyle w:val="title-doc-first"/>
              <w:autoSpaceDE w:val="0"/>
              <w:autoSpaceDN w:val="0"/>
              <w:adjustRightInd w:val="0"/>
              <w:jc w:val="both"/>
              <w:rPr>
                <w:bCs w:val="0"/>
                <w:sz w:val="18"/>
                <w:szCs w:val="18"/>
                <w:lang w:val="ro-MD"/>
              </w:rPr>
            </w:pPr>
            <w:r w:rsidRPr="003B14E9">
              <w:rPr>
                <w:rFonts w:eastAsia="Arial Unicode MS"/>
                <w:b w:val="0"/>
                <w:sz w:val="18"/>
                <w:szCs w:val="18"/>
                <w:lang w:val="ro-MD" w:eastAsia="ru-RU"/>
              </w:rPr>
              <w:t>REGULATION (EU) No 575/2013 OF THE EUROPEAN PARLIAMENT AND OF THE COUNCIL of 26 June 2013 on prudential requirements for credit institutions and investment firms and amending Regulation (EU) No 648/2012</w:t>
            </w:r>
          </w:p>
        </w:tc>
      </w:tr>
      <w:tr w:rsidR="005C1753" w:rsidRPr="003B14E9" w14:paraId="4C1AE693" w14:textId="77777777" w:rsidTr="005C1753">
        <w:tc>
          <w:tcPr>
            <w:tcW w:w="846" w:type="dxa"/>
            <w:vMerge w:val="restart"/>
          </w:tcPr>
          <w:p w14:paraId="17604346" w14:textId="68672AD0" w:rsidR="005C1753" w:rsidRPr="003B14E9" w:rsidRDefault="005C1753" w:rsidP="005C1753">
            <w:pPr>
              <w:pStyle w:val="ListParagraph"/>
              <w:numPr>
                <w:ilvl w:val="0"/>
                <w:numId w:val="27"/>
              </w:numPr>
              <w:tabs>
                <w:tab w:val="left" w:pos="284"/>
              </w:tabs>
              <w:jc w:val="both"/>
              <w:rPr>
                <w:b/>
                <w:bCs/>
                <w:sz w:val="18"/>
                <w:szCs w:val="18"/>
                <w:lang w:val="ro-MD"/>
              </w:rPr>
            </w:pPr>
          </w:p>
        </w:tc>
        <w:tc>
          <w:tcPr>
            <w:tcW w:w="14175" w:type="dxa"/>
          </w:tcPr>
          <w:p w14:paraId="0B90C67A" w14:textId="4CFAD522" w:rsidR="005C1753" w:rsidRPr="003B14E9" w:rsidRDefault="005C1753" w:rsidP="005C1753">
            <w:pPr>
              <w:pStyle w:val="ListParagraph"/>
              <w:tabs>
                <w:tab w:val="left" w:pos="284"/>
              </w:tabs>
              <w:ind w:left="0"/>
              <w:jc w:val="both"/>
              <w:rPr>
                <w:b/>
                <w:bCs/>
                <w:sz w:val="18"/>
                <w:szCs w:val="18"/>
                <w:lang w:val="ro-MD"/>
              </w:rPr>
            </w:pPr>
            <w:r w:rsidRPr="003B14E9">
              <w:rPr>
                <w:b/>
                <w:bCs/>
                <w:sz w:val="18"/>
                <w:szCs w:val="18"/>
                <w:lang w:val="ro-MD"/>
              </w:rPr>
              <w:t>Titlul proiectului de act normativ naţional</w:t>
            </w:r>
          </w:p>
        </w:tc>
      </w:tr>
      <w:tr w:rsidR="005C1753" w:rsidRPr="003B14E9" w14:paraId="38DA1561" w14:textId="77777777" w:rsidTr="005C1753">
        <w:tc>
          <w:tcPr>
            <w:tcW w:w="846" w:type="dxa"/>
            <w:vMerge/>
          </w:tcPr>
          <w:p w14:paraId="4D90D7E6" w14:textId="77777777" w:rsidR="005C1753" w:rsidRPr="003B14E9" w:rsidRDefault="005C1753" w:rsidP="005F3A73">
            <w:pPr>
              <w:rPr>
                <w:b/>
                <w:sz w:val="18"/>
                <w:szCs w:val="18"/>
                <w:u w:val="single"/>
                <w:lang w:val="ro-MD"/>
              </w:rPr>
            </w:pPr>
          </w:p>
        </w:tc>
        <w:tc>
          <w:tcPr>
            <w:tcW w:w="14175" w:type="dxa"/>
          </w:tcPr>
          <w:p w14:paraId="3F0C6E58" w14:textId="63018D26" w:rsidR="005C1753" w:rsidRPr="003B14E9" w:rsidRDefault="005C1753" w:rsidP="005F3A73">
            <w:pPr>
              <w:rPr>
                <w:b/>
                <w:sz w:val="18"/>
                <w:szCs w:val="18"/>
                <w:u w:val="single"/>
                <w:lang w:val="ro-MD"/>
              </w:rPr>
            </w:pPr>
            <w:r w:rsidRPr="003B14E9">
              <w:rPr>
                <w:b/>
                <w:sz w:val="18"/>
                <w:szCs w:val="18"/>
                <w:u w:val="single"/>
                <w:lang w:val="ro-MD"/>
              </w:rPr>
              <w:t>Regulamentului cu privire la tratamentul riscului de credit al contrapărții pentru bănci</w:t>
            </w:r>
            <w:r w:rsidRPr="003B14E9">
              <w:rPr>
                <w:b/>
                <w:bCs/>
                <w:sz w:val="18"/>
                <w:szCs w:val="18"/>
                <w:u w:val="single"/>
                <w:lang w:val="ro-MD"/>
              </w:rPr>
              <w:t xml:space="preserve"> </w:t>
            </w:r>
          </w:p>
          <w:p w14:paraId="5AF1F0BF" w14:textId="77777777" w:rsidR="005C1753" w:rsidRPr="003B14E9" w:rsidRDefault="005C1753" w:rsidP="005F3A73">
            <w:pPr>
              <w:jc w:val="both"/>
              <w:rPr>
                <w:sz w:val="18"/>
                <w:szCs w:val="18"/>
                <w:lang w:val="ro-MD"/>
              </w:rPr>
            </w:pPr>
            <w:r w:rsidRPr="003B14E9">
              <w:rPr>
                <w:b/>
                <w:bCs/>
                <w:sz w:val="18"/>
                <w:szCs w:val="18"/>
                <w:lang w:val="ro-MD"/>
              </w:rPr>
              <w:t xml:space="preserve">Scopul </w:t>
            </w:r>
            <w:r w:rsidRPr="003B14E9">
              <w:rPr>
                <w:b/>
                <w:sz w:val="18"/>
                <w:szCs w:val="18"/>
                <w:lang w:val="ro-MD"/>
              </w:rPr>
              <w:t>Regulamentului</w:t>
            </w:r>
            <w:r w:rsidRPr="003B14E9">
              <w:rPr>
                <w:b/>
                <w:bCs/>
                <w:sz w:val="18"/>
                <w:szCs w:val="18"/>
                <w:lang w:val="ro-MD"/>
              </w:rPr>
              <w:t xml:space="preserve"> </w:t>
            </w:r>
            <w:r w:rsidRPr="003B14E9">
              <w:rPr>
                <w:bCs/>
                <w:sz w:val="18"/>
                <w:szCs w:val="18"/>
                <w:lang w:val="ro-MD"/>
              </w:rPr>
              <w:t xml:space="preserve">este </w:t>
            </w:r>
            <w:r w:rsidRPr="003B14E9">
              <w:rPr>
                <w:sz w:val="18"/>
                <w:szCs w:val="18"/>
                <w:lang w:val="ro-MD"/>
              </w:rPr>
              <w:t xml:space="preserve">determinarea riscului de credit al contrapărții în cazul </w:t>
            </w:r>
            <w:r w:rsidRPr="003B14E9">
              <w:rPr>
                <w:rFonts w:eastAsia="Arial Unicode MS"/>
                <w:sz w:val="18"/>
                <w:szCs w:val="18"/>
                <w:lang w:val="ro-MD"/>
              </w:rPr>
              <w:t xml:space="preserve">instrumentelor financiare derivate și, după caz, al tranzacțiilor cu termen lung de decontare, precum și </w:t>
            </w:r>
            <w:r w:rsidRPr="003B14E9">
              <w:rPr>
                <w:iCs/>
                <w:sz w:val="18"/>
                <w:szCs w:val="18"/>
                <w:lang w:val="ro-MD"/>
              </w:rPr>
              <w:t xml:space="preserve">principiile pe care băncile trebuie să le respecte la calculul valorilor expunerilor ponderate la risc pentru riscul de contraparte ale elementelor din portofoliul de tranzacționare în asigurarea îndeplinirii angajamentelor Republicii Moldova asumate prin Acordul de Asociere în privința serviciilor financiare, precum și în asigurarea unui cadru competitiv și atractiv pentru investitorii strategici din alte state. </w:t>
            </w:r>
            <w:r w:rsidRPr="003B14E9">
              <w:rPr>
                <w:sz w:val="18"/>
                <w:szCs w:val="18"/>
                <w:lang w:val="ro-MD"/>
              </w:rPr>
              <w:t xml:space="preserve"> </w:t>
            </w:r>
          </w:p>
          <w:p w14:paraId="0EADB3DE" w14:textId="77777777" w:rsidR="005C1753" w:rsidRPr="003B14E9" w:rsidRDefault="005C1753" w:rsidP="00FC7FEA">
            <w:pPr>
              <w:jc w:val="both"/>
              <w:rPr>
                <w:bCs/>
                <w:sz w:val="18"/>
                <w:szCs w:val="18"/>
                <w:lang w:val="ro-MD"/>
              </w:rPr>
            </w:pPr>
            <w:r w:rsidRPr="003B14E9">
              <w:rPr>
                <w:sz w:val="18"/>
                <w:szCs w:val="18"/>
                <w:lang w:val="ro-MD"/>
              </w:rPr>
              <w:t xml:space="preserve"> </w:t>
            </w:r>
          </w:p>
        </w:tc>
      </w:tr>
      <w:tr w:rsidR="005C1753" w:rsidRPr="003B14E9" w14:paraId="52E95686" w14:textId="77777777" w:rsidTr="005C1753">
        <w:tc>
          <w:tcPr>
            <w:tcW w:w="846" w:type="dxa"/>
          </w:tcPr>
          <w:p w14:paraId="42781153" w14:textId="31BC416A" w:rsidR="005C1753" w:rsidRPr="003B14E9" w:rsidRDefault="005C1753" w:rsidP="005C1753">
            <w:pPr>
              <w:pStyle w:val="ListParagraph"/>
              <w:numPr>
                <w:ilvl w:val="0"/>
                <w:numId w:val="27"/>
              </w:numPr>
              <w:jc w:val="both"/>
              <w:rPr>
                <w:b/>
                <w:bCs/>
                <w:sz w:val="18"/>
                <w:szCs w:val="18"/>
                <w:lang w:val="ro-MD"/>
              </w:rPr>
            </w:pPr>
          </w:p>
        </w:tc>
        <w:tc>
          <w:tcPr>
            <w:tcW w:w="14175" w:type="dxa"/>
          </w:tcPr>
          <w:p w14:paraId="2172F9E4" w14:textId="74D724CC" w:rsidR="005C1753" w:rsidRPr="003B14E9" w:rsidRDefault="005C1753" w:rsidP="005F3A73">
            <w:pPr>
              <w:jc w:val="both"/>
              <w:rPr>
                <w:sz w:val="18"/>
                <w:szCs w:val="18"/>
                <w:lang w:val="ro-MD"/>
              </w:rPr>
            </w:pPr>
            <w:r w:rsidRPr="003B14E9">
              <w:rPr>
                <w:b/>
                <w:bCs/>
                <w:sz w:val="18"/>
                <w:szCs w:val="18"/>
                <w:lang w:val="ro-MD"/>
              </w:rPr>
              <w:t xml:space="preserve">Gradul general de compatibilitate - </w:t>
            </w:r>
            <w:r w:rsidRPr="003B14E9">
              <w:rPr>
                <w:rFonts w:eastAsia="MS Mincho"/>
                <w:b/>
                <w:bCs/>
                <w:sz w:val="18"/>
                <w:szCs w:val="18"/>
                <w:lang w:val="ro-MD"/>
              </w:rPr>
              <w:t>parţial compatibil</w:t>
            </w:r>
          </w:p>
        </w:tc>
      </w:tr>
    </w:tbl>
    <w:p w14:paraId="5CA94372" w14:textId="77777777" w:rsidR="005F3A73" w:rsidRPr="003B14E9" w:rsidRDefault="005F3A73" w:rsidP="005F3A73">
      <w:pPr>
        <w:jc w:val="both"/>
        <w:rPr>
          <w:b/>
          <w:bCs/>
          <w:sz w:val="18"/>
          <w:szCs w:val="18"/>
          <w:lang w:val="ro-MD"/>
        </w:rPr>
      </w:pPr>
    </w:p>
    <w:p w14:paraId="648D546A" w14:textId="77777777" w:rsidR="005F3A73" w:rsidRPr="003B14E9" w:rsidRDefault="005F3A73" w:rsidP="005F3A73">
      <w:pPr>
        <w:jc w:val="both"/>
        <w:rPr>
          <w:b/>
          <w:bCs/>
          <w:sz w:val="18"/>
          <w:szCs w:val="18"/>
          <w:lang w:val="ro-MD"/>
        </w:rPr>
      </w:pPr>
    </w:p>
    <w:p w14:paraId="1CEC44D8" w14:textId="77777777" w:rsidR="005F3A73" w:rsidRPr="003B14E9" w:rsidRDefault="005F3A73" w:rsidP="005F3A73">
      <w:pPr>
        <w:jc w:val="both"/>
        <w:rPr>
          <w:b/>
          <w:bCs/>
          <w:sz w:val="18"/>
          <w:szCs w:val="18"/>
          <w:lang w:val="ro-MD"/>
        </w:rPr>
      </w:pPr>
    </w:p>
    <w:p w14:paraId="2F19E03F" w14:textId="77777777" w:rsidR="005F3A73" w:rsidRPr="003B14E9" w:rsidRDefault="005F3A73" w:rsidP="005F3A73">
      <w:pPr>
        <w:jc w:val="both"/>
        <w:rPr>
          <w:b/>
          <w:bCs/>
          <w:sz w:val="18"/>
          <w:szCs w:val="18"/>
          <w:lang w:val="ro-MD"/>
        </w:rPr>
      </w:pPr>
    </w:p>
    <w:p w14:paraId="0EBC9932" w14:textId="77777777" w:rsidR="005F3A73" w:rsidRPr="003B14E9" w:rsidRDefault="005F3A73" w:rsidP="005F3A73">
      <w:pPr>
        <w:jc w:val="both"/>
        <w:rPr>
          <w:vanish/>
          <w:sz w:val="18"/>
          <w:szCs w:val="18"/>
          <w:lang w:val="ro-MD"/>
        </w:rPr>
      </w:pPr>
    </w:p>
    <w:p w14:paraId="744DD180" w14:textId="77777777" w:rsidR="005F3A73" w:rsidRPr="003B14E9" w:rsidRDefault="005F3A73" w:rsidP="005F3A73">
      <w:pPr>
        <w:jc w:val="both"/>
        <w:rPr>
          <w:vanish/>
          <w:sz w:val="18"/>
          <w:szCs w:val="18"/>
          <w:lang w:val="ro-MD"/>
        </w:rPr>
      </w:pPr>
    </w:p>
    <w:tbl>
      <w:tblPr>
        <w:tblW w:w="154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4425"/>
        <w:gridCol w:w="1160"/>
        <w:gridCol w:w="3041"/>
        <w:gridCol w:w="1055"/>
        <w:gridCol w:w="1330"/>
      </w:tblGrid>
      <w:tr w:rsidR="00DE6B37" w:rsidRPr="003B14E9" w14:paraId="0194AA20" w14:textId="77777777" w:rsidTr="00604EF1">
        <w:trPr>
          <w:trHeight w:val="723"/>
          <w:tblHeader/>
        </w:trPr>
        <w:tc>
          <w:tcPr>
            <w:tcW w:w="4473" w:type="dxa"/>
          </w:tcPr>
          <w:p w14:paraId="264A8A14" w14:textId="66DB991C" w:rsidR="00537105" w:rsidRPr="003B14E9" w:rsidRDefault="00537105" w:rsidP="005F3A73">
            <w:pPr>
              <w:jc w:val="both"/>
              <w:rPr>
                <w:b/>
                <w:bCs/>
                <w:sz w:val="18"/>
                <w:szCs w:val="18"/>
                <w:lang w:val="ro-MD"/>
              </w:rPr>
            </w:pPr>
            <w:r w:rsidRPr="003B14E9">
              <w:rPr>
                <w:b/>
                <w:bCs/>
                <w:sz w:val="18"/>
                <w:szCs w:val="18"/>
                <w:lang w:val="ro-MD"/>
              </w:rPr>
              <w:t>Actul Uniunii Europene</w:t>
            </w:r>
          </w:p>
        </w:tc>
        <w:tc>
          <w:tcPr>
            <w:tcW w:w="4425" w:type="dxa"/>
          </w:tcPr>
          <w:p w14:paraId="35F32FCF" w14:textId="3FA3AFDC" w:rsidR="00537105" w:rsidRPr="003B14E9" w:rsidRDefault="00537105" w:rsidP="005F3A73">
            <w:pPr>
              <w:jc w:val="both"/>
              <w:rPr>
                <w:bCs/>
                <w:sz w:val="18"/>
                <w:szCs w:val="18"/>
                <w:lang w:val="ro-MD"/>
              </w:rPr>
            </w:pPr>
            <w:r w:rsidRPr="003B14E9">
              <w:rPr>
                <w:b/>
                <w:bCs/>
                <w:sz w:val="18"/>
                <w:szCs w:val="18"/>
                <w:lang w:val="ro-MD"/>
              </w:rPr>
              <w:t>Proiectul de act normativ naţional</w:t>
            </w:r>
          </w:p>
        </w:tc>
        <w:tc>
          <w:tcPr>
            <w:tcW w:w="1160" w:type="dxa"/>
          </w:tcPr>
          <w:p w14:paraId="4D7DEA05" w14:textId="628B8B29" w:rsidR="00537105" w:rsidRPr="003B14E9" w:rsidRDefault="00537105" w:rsidP="005F3A73">
            <w:pPr>
              <w:ind w:left="-84" w:right="-112"/>
              <w:jc w:val="both"/>
              <w:rPr>
                <w:b/>
                <w:bCs/>
                <w:sz w:val="18"/>
                <w:szCs w:val="18"/>
                <w:lang w:val="ro-MD"/>
              </w:rPr>
            </w:pPr>
            <w:r w:rsidRPr="003B14E9">
              <w:rPr>
                <w:b/>
                <w:bCs/>
                <w:sz w:val="18"/>
                <w:szCs w:val="18"/>
                <w:lang w:val="ro-MD"/>
              </w:rPr>
              <w:t>Gradul de compatibilitate</w:t>
            </w:r>
          </w:p>
        </w:tc>
        <w:tc>
          <w:tcPr>
            <w:tcW w:w="3041" w:type="dxa"/>
          </w:tcPr>
          <w:p w14:paraId="7287A924" w14:textId="73037714" w:rsidR="00537105" w:rsidRPr="003B14E9" w:rsidRDefault="00537105" w:rsidP="005F3A73">
            <w:pPr>
              <w:jc w:val="both"/>
              <w:rPr>
                <w:b/>
                <w:bCs/>
                <w:sz w:val="18"/>
                <w:szCs w:val="18"/>
                <w:lang w:val="ro-MD"/>
              </w:rPr>
            </w:pPr>
            <w:r w:rsidRPr="003B14E9">
              <w:rPr>
                <w:b/>
                <w:bCs/>
                <w:sz w:val="18"/>
                <w:szCs w:val="18"/>
                <w:lang w:val="ro-MD"/>
              </w:rPr>
              <w:t>Diferenţele</w:t>
            </w:r>
          </w:p>
        </w:tc>
        <w:tc>
          <w:tcPr>
            <w:tcW w:w="1055" w:type="dxa"/>
          </w:tcPr>
          <w:p w14:paraId="5970B66C" w14:textId="5D20B4B2" w:rsidR="00537105" w:rsidRPr="003B14E9" w:rsidRDefault="00537105" w:rsidP="005F3A73">
            <w:pPr>
              <w:jc w:val="both"/>
              <w:rPr>
                <w:b/>
                <w:bCs/>
                <w:sz w:val="18"/>
                <w:szCs w:val="18"/>
                <w:lang w:val="ro-MD"/>
              </w:rPr>
            </w:pPr>
            <w:r w:rsidRPr="003B14E9">
              <w:rPr>
                <w:b/>
                <w:bCs/>
                <w:sz w:val="18"/>
                <w:szCs w:val="18"/>
                <w:lang w:val="ro-MD"/>
              </w:rPr>
              <w:t>Observaţiile</w:t>
            </w:r>
          </w:p>
        </w:tc>
        <w:tc>
          <w:tcPr>
            <w:tcW w:w="1330" w:type="dxa"/>
          </w:tcPr>
          <w:p w14:paraId="54134040" w14:textId="6045596A" w:rsidR="00537105" w:rsidRPr="003B14E9" w:rsidRDefault="00537105" w:rsidP="005F3A73">
            <w:pPr>
              <w:jc w:val="both"/>
              <w:rPr>
                <w:b/>
                <w:bCs/>
                <w:sz w:val="18"/>
                <w:szCs w:val="18"/>
                <w:lang w:val="ro-MD"/>
              </w:rPr>
            </w:pPr>
            <w:r w:rsidRPr="003B14E9">
              <w:rPr>
                <w:b/>
                <w:bCs/>
                <w:sz w:val="18"/>
                <w:szCs w:val="18"/>
                <w:lang w:val="ro-MD"/>
              </w:rPr>
              <w:t>Autoritatea/ persoana responsabilă</w:t>
            </w:r>
          </w:p>
        </w:tc>
      </w:tr>
      <w:tr w:rsidR="00DE6B37" w:rsidRPr="003B14E9" w14:paraId="51A90453" w14:textId="77777777" w:rsidTr="00604EF1">
        <w:trPr>
          <w:tblHeader/>
        </w:trPr>
        <w:tc>
          <w:tcPr>
            <w:tcW w:w="4473" w:type="dxa"/>
          </w:tcPr>
          <w:p w14:paraId="5DE61B1A" w14:textId="6D20C0E2" w:rsidR="00537105" w:rsidRPr="003B14E9" w:rsidRDefault="00537105" w:rsidP="005F3A73">
            <w:pPr>
              <w:pStyle w:val="BodyTextIndent"/>
              <w:spacing w:before="0"/>
              <w:ind w:firstLine="0"/>
              <w:rPr>
                <w:rFonts w:eastAsia="MS Mincho"/>
                <w:b/>
                <w:sz w:val="18"/>
                <w:szCs w:val="18"/>
                <w:lang w:val="ro-MD"/>
              </w:rPr>
            </w:pPr>
            <w:r w:rsidRPr="003B14E9">
              <w:rPr>
                <w:rFonts w:eastAsia="MS Mincho"/>
                <w:b/>
                <w:sz w:val="18"/>
                <w:szCs w:val="18"/>
                <w:lang w:val="ro-MD"/>
              </w:rPr>
              <w:t>4</w:t>
            </w:r>
          </w:p>
        </w:tc>
        <w:tc>
          <w:tcPr>
            <w:tcW w:w="4425" w:type="dxa"/>
          </w:tcPr>
          <w:p w14:paraId="2DA2B260" w14:textId="0ACC5C0F" w:rsidR="00537105" w:rsidRPr="003B14E9" w:rsidRDefault="00537105" w:rsidP="005F3A73">
            <w:pPr>
              <w:pStyle w:val="PlainText"/>
              <w:jc w:val="both"/>
              <w:rPr>
                <w:rFonts w:ascii="Times New Roman" w:eastAsia="MS Mincho" w:hAnsi="Times New Roman" w:cs="Times New Roman"/>
                <w:b/>
                <w:sz w:val="18"/>
                <w:szCs w:val="18"/>
                <w:lang w:val="ro-MD"/>
              </w:rPr>
            </w:pPr>
            <w:r w:rsidRPr="003B14E9">
              <w:rPr>
                <w:rFonts w:ascii="Times New Roman" w:eastAsia="MS Mincho" w:hAnsi="Times New Roman" w:cs="Times New Roman"/>
                <w:b/>
                <w:sz w:val="18"/>
                <w:szCs w:val="18"/>
                <w:lang w:val="ro-MD"/>
              </w:rPr>
              <w:t>5</w:t>
            </w:r>
          </w:p>
        </w:tc>
        <w:tc>
          <w:tcPr>
            <w:tcW w:w="1160" w:type="dxa"/>
          </w:tcPr>
          <w:p w14:paraId="55A1C645" w14:textId="23D6B3B2" w:rsidR="00537105" w:rsidRPr="003B14E9" w:rsidRDefault="00537105" w:rsidP="005F3A73">
            <w:pPr>
              <w:jc w:val="both"/>
              <w:rPr>
                <w:b/>
                <w:sz w:val="18"/>
                <w:szCs w:val="18"/>
                <w:lang w:val="ro-MD"/>
              </w:rPr>
            </w:pPr>
            <w:r w:rsidRPr="003B14E9">
              <w:rPr>
                <w:b/>
                <w:sz w:val="18"/>
                <w:szCs w:val="18"/>
                <w:lang w:val="ro-MD"/>
              </w:rPr>
              <w:t>6</w:t>
            </w:r>
          </w:p>
        </w:tc>
        <w:tc>
          <w:tcPr>
            <w:tcW w:w="3041" w:type="dxa"/>
          </w:tcPr>
          <w:p w14:paraId="3A402427" w14:textId="084D48B9" w:rsidR="00537105" w:rsidRPr="003B14E9" w:rsidRDefault="00537105" w:rsidP="005F3A73">
            <w:pPr>
              <w:jc w:val="both"/>
              <w:rPr>
                <w:b/>
                <w:sz w:val="18"/>
                <w:szCs w:val="18"/>
                <w:lang w:val="ro-MD"/>
              </w:rPr>
            </w:pPr>
            <w:r w:rsidRPr="003B14E9">
              <w:rPr>
                <w:b/>
                <w:sz w:val="18"/>
                <w:szCs w:val="18"/>
                <w:lang w:val="ro-MD"/>
              </w:rPr>
              <w:t>7</w:t>
            </w:r>
          </w:p>
        </w:tc>
        <w:tc>
          <w:tcPr>
            <w:tcW w:w="1055" w:type="dxa"/>
            <w:tcBorders>
              <w:bottom w:val="single" w:sz="4" w:space="0" w:color="auto"/>
            </w:tcBorders>
          </w:tcPr>
          <w:p w14:paraId="49B7B2E6" w14:textId="41806898" w:rsidR="00537105" w:rsidRPr="003B14E9" w:rsidRDefault="00537105" w:rsidP="005F3A73">
            <w:pPr>
              <w:jc w:val="both"/>
              <w:rPr>
                <w:b/>
                <w:sz w:val="18"/>
                <w:szCs w:val="18"/>
                <w:lang w:val="ro-MD"/>
              </w:rPr>
            </w:pPr>
            <w:r w:rsidRPr="003B14E9">
              <w:rPr>
                <w:b/>
                <w:sz w:val="18"/>
                <w:szCs w:val="18"/>
                <w:lang w:val="ro-MD"/>
              </w:rPr>
              <w:t>8</w:t>
            </w:r>
          </w:p>
        </w:tc>
        <w:tc>
          <w:tcPr>
            <w:tcW w:w="1330" w:type="dxa"/>
          </w:tcPr>
          <w:p w14:paraId="27570D61" w14:textId="13BF7347" w:rsidR="00537105" w:rsidRPr="003B14E9" w:rsidRDefault="00537105" w:rsidP="005F3A73">
            <w:pPr>
              <w:jc w:val="both"/>
              <w:rPr>
                <w:b/>
                <w:sz w:val="18"/>
                <w:szCs w:val="18"/>
                <w:lang w:val="ro-MD"/>
              </w:rPr>
            </w:pPr>
            <w:r w:rsidRPr="003B14E9">
              <w:rPr>
                <w:b/>
                <w:sz w:val="18"/>
                <w:szCs w:val="18"/>
                <w:lang w:val="ro-MD"/>
              </w:rPr>
              <w:t>9</w:t>
            </w:r>
          </w:p>
        </w:tc>
      </w:tr>
      <w:tr w:rsidR="00DE6B37" w:rsidRPr="003B14E9" w14:paraId="47CE0C8A" w14:textId="77777777" w:rsidTr="00604EF1">
        <w:tc>
          <w:tcPr>
            <w:tcW w:w="4473" w:type="dxa"/>
          </w:tcPr>
          <w:p w14:paraId="17113D3D" w14:textId="77777777" w:rsidR="00537105" w:rsidRPr="003B14E9" w:rsidRDefault="00537105" w:rsidP="005F3A73">
            <w:pPr>
              <w:jc w:val="both"/>
              <w:rPr>
                <w:b/>
                <w:sz w:val="18"/>
                <w:szCs w:val="18"/>
                <w:lang w:val="ro-MD"/>
              </w:rPr>
            </w:pPr>
            <w:r w:rsidRPr="003B14E9">
              <w:rPr>
                <w:rFonts w:eastAsia="Arial Unicode MS"/>
                <w:b/>
                <w:bCs/>
                <w:sz w:val="18"/>
                <w:szCs w:val="18"/>
                <w:lang w:val="ro-MD"/>
              </w:rPr>
              <w:t xml:space="preserve">Regulamentul nr. 575/2013 al Parlamentului European și al Consiliului din 26 iunie 2013 privind cerințele prudențiale pentru instituțiile de credit și firmele de </w:t>
            </w:r>
            <w:r w:rsidRPr="003B14E9">
              <w:rPr>
                <w:rFonts w:eastAsia="Arial Unicode MS"/>
                <w:b/>
                <w:bCs/>
                <w:sz w:val="18"/>
                <w:szCs w:val="18"/>
                <w:lang w:val="ro-MD"/>
              </w:rPr>
              <w:lastRenderedPageBreak/>
              <w:t>investiții și de modificare a Regulamentului (UE) nr. 648/2012</w:t>
            </w:r>
          </w:p>
        </w:tc>
        <w:tc>
          <w:tcPr>
            <w:tcW w:w="4425" w:type="dxa"/>
            <w:shd w:val="clear" w:color="auto" w:fill="auto"/>
          </w:tcPr>
          <w:p w14:paraId="0D05970F" w14:textId="77777777" w:rsidR="00537105" w:rsidRPr="003B14E9" w:rsidRDefault="00537105" w:rsidP="006C2AFA">
            <w:pPr>
              <w:rPr>
                <w:b/>
                <w:sz w:val="18"/>
                <w:szCs w:val="18"/>
                <w:u w:val="single"/>
                <w:lang w:val="ro-MD"/>
              </w:rPr>
            </w:pPr>
            <w:r w:rsidRPr="003B14E9">
              <w:rPr>
                <w:b/>
                <w:sz w:val="18"/>
                <w:szCs w:val="18"/>
                <w:u w:val="single"/>
                <w:lang w:val="ro-MD"/>
              </w:rPr>
              <w:lastRenderedPageBreak/>
              <w:t>Regulamentului cu privire la tratamentul riscului de credit al contrapărții pentru bănci</w:t>
            </w:r>
            <w:r w:rsidRPr="003B14E9">
              <w:rPr>
                <w:b/>
                <w:bCs/>
                <w:sz w:val="18"/>
                <w:szCs w:val="18"/>
                <w:u w:val="single"/>
                <w:lang w:val="ro-MD"/>
              </w:rPr>
              <w:t xml:space="preserve"> </w:t>
            </w:r>
          </w:p>
          <w:p w14:paraId="2A80CA2E" w14:textId="77777777" w:rsidR="00537105" w:rsidRPr="003B14E9" w:rsidRDefault="00537105" w:rsidP="005F3A73">
            <w:pPr>
              <w:jc w:val="both"/>
              <w:rPr>
                <w:b/>
                <w:sz w:val="18"/>
                <w:szCs w:val="18"/>
                <w:lang w:val="ro-MD"/>
              </w:rPr>
            </w:pPr>
          </w:p>
        </w:tc>
        <w:tc>
          <w:tcPr>
            <w:tcW w:w="1160" w:type="dxa"/>
          </w:tcPr>
          <w:p w14:paraId="29D9153D" w14:textId="77777777" w:rsidR="00537105" w:rsidRPr="003B14E9" w:rsidRDefault="00537105" w:rsidP="005F3A73">
            <w:pPr>
              <w:jc w:val="both"/>
              <w:rPr>
                <w:b/>
                <w:strike/>
                <w:sz w:val="18"/>
                <w:szCs w:val="18"/>
                <w:lang w:val="ro-MD"/>
              </w:rPr>
            </w:pPr>
          </w:p>
        </w:tc>
        <w:tc>
          <w:tcPr>
            <w:tcW w:w="3041" w:type="dxa"/>
          </w:tcPr>
          <w:p w14:paraId="0810866D" w14:textId="77777777" w:rsidR="00537105" w:rsidRPr="003B14E9" w:rsidRDefault="00537105" w:rsidP="005F3A73">
            <w:pPr>
              <w:jc w:val="both"/>
              <w:rPr>
                <w:sz w:val="18"/>
                <w:szCs w:val="18"/>
                <w:lang w:val="ro-MD"/>
              </w:rPr>
            </w:pPr>
          </w:p>
        </w:tc>
        <w:tc>
          <w:tcPr>
            <w:tcW w:w="1055" w:type="dxa"/>
            <w:tcBorders>
              <w:top w:val="single" w:sz="4" w:space="0" w:color="auto"/>
              <w:bottom w:val="single" w:sz="4" w:space="0" w:color="auto"/>
            </w:tcBorders>
          </w:tcPr>
          <w:p w14:paraId="470CB7BC" w14:textId="77777777" w:rsidR="00537105" w:rsidRPr="003B14E9" w:rsidRDefault="00537105" w:rsidP="00537105">
            <w:pPr>
              <w:jc w:val="both"/>
              <w:rPr>
                <w:strike/>
                <w:sz w:val="18"/>
                <w:szCs w:val="18"/>
                <w:lang w:val="ro-MD"/>
              </w:rPr>
            </w:pPr>
          </w:p>
        </w:tc>
        <w:tc>
          <w:tcPr>
            <w:tcW w:w="1330" w:type="dxa"/>
            <w:tcBorders>
              <w:bottom w:val="single" w:sz="4" w:space="0" w:color="auto"/>
            </w:tcBorders>
          </w:tcPr>
          <w:p w14:paraId="678B9088" w14:textId="77777777" w:rsidR="00537105" w:rsidRPr="003B14E9" w:rsidRDefault="00537105" w:rsidP="00537105">
            <w:pPr>
              <w:jc w:val="both"/>
              <w:rPr>
                <w:sz w:val="18"/>
                <w:szCs w:val="18"/>
                <w:lang w:val="ro-MD"/>
              </w:rPr>
            </w:pPr>
            <w:r w:rsidRPr="003B14E9">
              <w:rPr>
                <w:sz w:val="18"/>
                <w:szCs w:val="18"/>
                <w:lang w:val="ro-MD"/>
              </w:rPr>
              <w:t>Banca Naţională a Moldovei,</w:t>
            </w:r>
          </w:p>
          <w:p w14:paraId="4DF1942B" w14:textId="77777777" w:rsidR="00537105" w:rsidRPr="003B14E9" w:rsidRDefault="00537105" w:rsidP="005F3A73">
            <w:pPr>
              <w:jc w:val="both"/>
              <w:rPr>
                <w:sz w:val="18"/>
                <w:szCs w:val="18"/>
                <w:lang w:val="ro-MD"/>
              </w:rPr>
            </w:pPr>
          </w:p>
        </w:tc>
      </w:tr>
      <w:tr w:rsidR="00DE6B37" w:rsidRPr="003B14E9" w14:paraId="61B5325F" w14:textId="77777777" w:rsidTr="00604EF1">
        <w:trPr>
          <w:trHeight w:val="918"/>
        </w:trPr>
        <w:tc>
          <w:tcPr>
            <w:tcW w:w="4473" w:type="dxa"/>
          </w:tcPr>
          <w:p w14:paraId="09E99B9D" w14:textId="77777777" w:rsidR="00537105" w:rsidRPr="003B14E9" w:rsidRDefault="00537105" w:rsidP="005F3A73">
            <w:pPr>
              <w:pStyle w:val="CM4"/>
              <w:spacing w:after="120"/>
              <w:jc w:val="both"/>
              <w:rPr>
                <w:rFonts w:ascii="Times New Roman" w:hAnsi="Times New Roman"/>
                <w:b/>
                <w:sz w:val="18"/>
                <w:szCs w:val="18"/>
                <w:lang w:val="ro-MD"/>
              </w:rPr>
            </w:pPr>
            <w:r w:rsidRPr="003B14E9">
              <w:rPr>
                <w:rFonts w:ascii="Times New Roman" w:hAnsi="Times New Roman"/>
                <w:b/>
                <w:sz w:val="18"/>
                <w:szCs w:val="18"/>
                <w:lang w:val="ro-MD"/>
              </w:rPr>
              <w:t xml:space="preserve">34. </w:t>
            </w:r>
            <w:r w:rsidRPr="003B14E9">
              <w:rPr>
                <w:rFonts w:ascii="Times New Roman" w:hAnsi="Times New Roman"/>
                <w:sz w:val="18"/>
                <w:szCs w:val="18"/>
                <w:lang w:val="ro-MD"/>
              </w:rPr>
              <w:t>„contraparte centrală”</w:t>
            </w:r>
            <w:r w:rsidRPr="003B14E9">
              <w:rPr>
                <w:rFonts w:ascii="Times New Roman" w:hAnsi="Times New Roman"/>
                <w:b/>
                <w:sz w:val="18"/>
                <w:szCs w:val="18"/>
                <w:lang w:val="ro-MD"/>
              </w:rPr>
              <w:t xml:space="preserve"> </w:t>
            </w:r>
            <w:r w:rsidRPr="003B14E9">
              <w:rPr>
                <w:rFonts w:ascii="Times New Roman" w:hAnsi="Times New Roman"/>
                <w:sz w:val="18"/>
                <w:szCs w:val="18"/>
                <w:lang w:val="ro-MD"/>
              </w:rPr>
              <w:t>sau</w:t>
            </w:r>
            <w:r w:rsidRPr="003B14E9">
              <w:rPr>
                <w:rFonts w:ascii="Times New Roman" w:hAnsi="Times New Roman"/>
                <w:b/>
                <w:sz w:val="18"/>
                <w:szCs w:val="18"/>
                <w:lang w:val="ro-MD"/>
              </w:rPr>
              <w:t xml:space="preserve"> </w:t>
            </w:r>
            <w:r w:rsidRPr="003B14E9">
              <w:rPr>
                <w:rFonts w:ascii="Times New Roman" w:hAnsi="Times New Roman"/>
                <w:sz w:val="18"/>
                <w:szCs w:val="18"/>
                <w:lang w:val="ro-MD"/>
              </w:rPr>
              <w:t>„CPC”</w:t>
            </w:r>
            <w:r w:rsidRPr="003B14E9">
              <w:rPr>
                <w:rFonts w:ascii="Times New Roman" w:hAnsi="Times New Roman"/>
                <w:b/>
                <w:sz w:val="18"/>
                <w:szCs w:val="18"/>
                <w:lang w:val="ro-MD"/>
              </w:rPr>
              <w:t xml:space="preserve"> </w:t>
            </w:r>
            <w:r w:rsidRPr="003B14E9">
              <w:rPr>
                <w:rFonts w:ascii="Times New Roman" w:hAnsi="Times New Roman"/>
                <w:sz w:val="18"/>
                <w:szCs w:val="18"/>
                <w:lang w:val="ro-MD"/>
              </w:rPr>
              <w:t>înseamnă o CPC astfel cum este definită la articolul 2 punctul 1 din Regulamentul (UE) nr. 648/2012;</w:t>
            </w:r>
          </w:p>
        </w:tc>
        <w:tc>
          <w:tcPr>
            <w:tcW w:w="4425" w:type="dxa"/>
            <w:shd w:val="clear" w:color="auto" w:fill="auto"/>
          </w:tcPr>
          <w:p w14:paraId="614E3AC3" w14:textId="5DD88BE1" w:rsidR="00537105" w:rsidRPr="003B14E9" w:rsidRDefault="00537105" w:rsidP="008C673E">
            <w:pPr>
              <w:tabs>
                <w:tab w:val="left" w:pos="540"/>
              </w:tabs>
              <w:ind w:left="-43"/>
              <w:jc w:val="both"/>
              <w:rPr>
                <w:i/>
                <w:iCs/>
                <w:sz w:val="18"/>
                <w:szCs w:val="18"/>
                <w:lang w:val="ro-MD"/>
              </w:rPr>
            </w:pPr>
            <w:r w:rsidRPr="003B14E9">
              <w:rPr>
                <w:color w:val="000000"/>
                <w:sz w:val="18"/>
                <w:szCs w:val="18"/>
                <w:lang w:val="ro-MD"/>
              </w:rPr>
              <w:t>În sensul prezentului regulament se utilizează următoarele noţiuni:</w:t>
            </w:r>
          </w:p>
          <w:p w14:paraId="058DDA79" w14:textId="77777777" w:rsidR="007B564C" w:rsidRPr="003B14E9" w:rsidRDefault="007B564C" w:rsidP="007B564C">
            <w:pPr>
              <w:tabs>
                <w:tab w:val="left" w:pos="540"/>
              </w:tabs>
              <w:ind w:left="-43"/>
              <w:jc w:val="both"/>
              <w:rPr>
                <w:i/>
                <w:iCs/>
                <w:sz w:val="18"/>
                <w:szCs w:val="18"/>
                <w:lang w:val="ro-RO"/>
              </w:rPr>
            </w:pPr>
            <w:r w:rsidRPr="003B14E9">
              <w:rPr>
                <w:i/>
                <w:iCs/>
                <w:sz w:val="18"/>
                <w:szCs w:val="18"/>
                <w:lang w:val="ro-RO"/>
              </w:rPr>
              <w:t xml:space="preserve">contraparte centrală (CPC) </w:t>
            </w:r>
            <w:r w:rsidRPr="003B14E9">
              <w:rPr>
                <w:sz w:val="18"/>
                <w:szCs w:val="18"/>
                <w:lang w:val="ro-RO"/>
              </w:rPr>
              <w:t>- o persoană juridică care se interpune între contrapărţile la contractele tranzacţionate pe una sau mai multe pieţe financiare, devenind astfel cumpărător pentru fiecare vânzător şi vânzător pentru fiecare cumpărător;</w:t>
            </w:r>
          </w:p>
          <w:p w14:paraId="2935CC65" w14:textId="77777777" w:rsidR="00537105" w:rsidRPr="003B14E9" w:rsidRDefault="00537105" w:rsidP="005F3A73">
            <w:pPr>
              <w:jc w:val="both"/>
              <w:rPr>
                <w:b/>
                <w:i/>
                <w:sz w:val="18"/>
                <w:szCs w:val="18"/>
                <w:highlight w:val="red"/>
                <w:lang w:val="ro-RO"/>
              </w:rPr>
            </w:pPr>
          </w:p>
        </w:tc>
        <w:tc>
          <w:tcPr>
            <w:tcW w:w="1160" w:type="dxa"/>
          </w:tcPr>
          <w:p w14:paraId="0FEF19E2" w14:textId="77777777" w:rsidR="00537105" w:rsidRPr="003B14E9" w:rsidRDefault="00537105" w:rsidP="005F3A73">
            <w:pPr>
              <w:jc w:val="both"/>
              <w:rPr>
                <w:sz w:val="18"/>
                <w:szCs w:val="18"/>
                <w:highlight w:val="red"/>
                <w:lang w:val="ro-MD"/>
              </w:rPr>
            </w:pPr>
            <w:r w:rsidRPr="003B14E9">
              <w:rPr>
                <w:sz w:val="18"/>
                <w:szCs w:val="18"/>
                <w:lang w:val="ro-MD"/>
              </w:rPr>
              <w:t xml:space="preserve">Compatibil </w:t>
            </w:r>
          </w:p>
        </w:tc>
        <w:tc>
          <w:tcPr>
            <w:tcW w:w="3041" w:type="dxa"/>
          </w:tcPr>
          <w:p w14:paraId="62C0A8C0" w14:textId="76149963" w:rsidR="00537105" w:rsidRPr="003B14E9" w:rsidRDefault="00537105" w:rsidP="00CC518E">
            <w:pPr>
              <w:rPr>
                <w:sz w:val="18"/>
                <w:szCs w:val="18"/>
                <w:highlight w:val="red"/>
                <w:lang w:val="ro-MD"/>
              </w:rPr>
            </w:pPr>
          </w:p>
        </w:tc>
        <w:tc>
          <w:tcPr>
            <w:tcW w:w="1055" w:type="dxa"/>
            <w:tcBorders>
              <w:top w:val="single" w:sz="4" w:space="0" w:color="auto"/>
              <w:bottom w:val="single" w:sz="4" w:space="0" w:color="auto"/>
            </w:tcBorders>
          </w:tcPr>
          <w:p w14:paraId="1416A9B1" w14:textId="0F4D603B" w:rsidR="00537105" w:rsidRPr="003B14E9" w:rsidRDefault="00537105" w:rsidP="005F3A73">
            <w:pPr>
              <w:jc w:val="both"/>
              <w:rPr>
                <w:sz w:val="18"/>
                <w:szCs w:val="18"/>
                <w:lang w:val="ro-MD"/>
              </w:rPr>
            </w:pPr>
            <w:r w:rsidRPr="003B14E9">
              <w:rPr>
                <w:sz w:val="18"/>
                <w:szCs w:val="18"/>
                <w:lang w:val="ro-MD"/>
              </w:rPr>
              <w:t>Definiția a fost transpusă conform articolul 2 punctul 1 din Regulamentul (UE) nr. 648/2012.</w:t>
            </w:r>
          </w:p>
        </w:tc>
        <w:tc>
          <w:tcPr>
            <w:tcW w:w="1330" w:type="dxa"/>
            <w:tcBorders>
              <w:bottom w:val="single" w:sz="4" w:space="0" w:color="auto"/>
            </w:tcBorders>
          </w:tcPr>
          <w:p w14:paraId="447899E8" w14:textId="77777777" w:rsidR="00537105" w:rsidRPr="003B14E9" w:rsidRDefault="00537105" w:rsidP="005F3A73">
            <w:pPr>
              <w:jc w:val="both"/>
              <w:rPr>
                <w:sz w:val="18"/>
                <w:szCs w:val="18"/>
                <w:lang w:val="ro-MD"/>
              </w:rPr>
            </w:pPr>
          </w:p>
        </w:tc>
      </w:tr>
      <w:tr w:rsidR="009A7894" w:rsidRPr="003B14E9" w14:paraId="480965B8" w14:textId="77777777" w:rsidTr="00604EF1">
        <w:trPr>
          <w:trHeight w:val="918"/>
        </w:trPr>
        <w:tc>
          <w:tcPr>
            <w:tcW w:w="4473" w:type="dxa"/>
          </w:tcPr>
          <w:p w14:paraId="6163191C" w14:textId="77777777" w:rsidR="009A7894" w:rsidRPr="003B14E9" w:rsidRDefault="009A7894" w:rsidP="009A7894">
            <w:pPr>
              <w:pStyle w:val="title-article-norm"/>
              <w:rPr>
                <w:i w:val="0"/>
                <w:sz w:val="18"/>
                <w:szCs w:val="18"/>
                <w:lang w:val="ro-MD"/>
              </w:rPr>
            </w:pPr>
            <w:r w:rsidRPr="003B14E9">
              <w:rPr>
                <w:i w:val="0"/>
                <w:sz w:val="18"/>
                <w:szCs w:val="18"/>
                <w:lang w:val="ro-MD"/>
              </w:rPr>
              <w:t>CAPITOLUL 6</w:t>
            </w:r>
          </w:p>
          <w:p w14:paraId="561DBADD" w14:textId="31C72D86" w:rsidR="009A7894" w:rsidRPr="003B14E9" w:rsidRDefault="009A7894" w:rsidP="009A7894">
            <w:pPr>
              <w:pStyle w:val="CM4"/>
              <w:spacing w:after="120"/>
              <w:jc w:val="both"/>
              <w:rPr>
                <w:rFonts w:ascii="Times New Roman" w:hAnsi="Times New Roman"/>
                <w:b/>
                <w:sz w:val="18"/>
                <w:szCs w:val="18"/>
                <w:lang w:val="ro-MD"/>
              </w:rPr>
            </w:pPr>
            <w:r w:rsidRPr="003B14E9">
              <w:rPr>
                <w:rFonts w:ascii="Times New Roman" w:hAnsi="Times New Roman"/>
                <w:b/>
                <w:sz w:val="18"/>
                <w:szCs w:val="18"/>
                <w:lang w:val="ro-MD"/>
              </w:rPr>
              <w:t>Riscul de credit al contrapărții</w:t>
            </w:r>
          </w:p>
        </w:tc>
        <w:tc>
          <w:tcPr>
            <w:tcW w:w="4425" w:type="dxa"/>
            <w:shd w:val="clear" w:color="auto" w:fill="auto"/>
          </w:tcPr>
          <w:p w14:paraId="4D969477" w14:textId="412A4C2A" w:rsidR="009A7894" w:rsidRPr="003B14E9" w:rsidRDefault="009A7894" w:rsidP="009A7894">
            <w:pPr>
              <w:tabs>
                <w:tab w:val="left" w:pos="540"/>
              </w:tabs>
              <w:ind w:left="-43"/>
              <w:jc w:val="both"/>
              <w:rPr>
                <w:color w:val="000000"/>
                <w:sz w:val="18"/>
                <w:szCs w:val="18"/>
                <w:lang w:val="ro-MD"/>
              </w:rPr>
            </w:pPr>
            <w:r w:rsidRPr="003B14E9">
              <w:rPr>
                <w:b/>
                <w:sz w:val="18"/>
                <w:szCs w:val="18"/>
                <w:lang w:val="ro-MD"/>
              </w:rPr>
              <w:t>Regulamentul cu privire la tratamentul riscului de credit al contrapărții pentru bănci</w:t>
            </w:r>
          </w:p>
        </w:tc>
        <w:tc>
          <w:tcPr>
            <w:tcW w:w="1160" w:type="dxa"/>
          </w:tcPr>
          <w:p w14:paraId="24CA6D74" w14:textId="77777777" w:rsidR="009A7894" w:rsidRPr="003B14E9" w:rsidRDefault="009A7894" w:rsidP="009A7894">
            <w:pPr>
              <w:jc w:val="both"/>
              <w:rPr>
                <w:sz w:val="18"/>
                <w:szCs w:val="18"/>
                <w:lang w:val="ro-MD"/>
              </w:rPr>
            </w:pPr>
          </w:p>
        </w:tc>
        <w:tc>
          <w:tcPr>
            <w:tcW w:w="3041" w:type="dxa"/>
          </w:tcPr>
          <w:p w14:paraId="04D5B4EA"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158A2A36"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70820BBE" w14:textId="77777777" w:rsidR="009A7894" w:rsidRPr="003B14E9" w:rsidRDefault="009A7894" w:rsidP="009A7894">
            <w:pPr>
              <w:jc w:val="both"/>
              <w:rPr>
                <w:sz w:val="18"/>
                <w:szCs w:val="18"/>
                <w:lang w:val="ro-MD"/>
              </w:rPr>
            </w:pPr>
          </w:p>
        </w:tc>
      </w:tr>
      <w:tr w:rsidR="009A7894" w:rsidRPr="003B14E9" w14:paraId="7CB71B9B" w14:textId="77777777" w:rsidTr="00604EF1">
        <w:trPr>
          <w:trHeight w:val="918"/>
        </w:trPr>
        <w:tc>
          <w:tcPr>
            <w:tcW w:w="4473" w:type="dxa"/>
          </w:tcPr>
          <w:p w14:paraId="0EB8C2F9" w14:textId="77777777" w:rsidR="009A7894" w:rsidRPr="003B14E9" w:rsidRDefault="009A7894" w:rsidP="009A7894">
            <w:pPr>
              <w:pStyle w:val="title-article-norm"/>
              <w:spacing w:before="0"/>
              <w:rPr>
                <w:i w:val="0"/>
                <w:sz w:val="18"/>
                <w:szCs w:val="18"/>
                <w:lang w:val="ro-MD"/>
              </w:rPr>
            </w:pPr>
            <w:r w:rsidRPr="003B14E9">
              <w:rPr>
                <w:i w:val="0"/>
                <w:sz w:val="18"/>
                <w:szCs w:val="18"/>
                <w:lang w:val="ro-MD"/>
              </w:rPr>
              <w:t>Secțiunea 1</w:t>
            </w:r>
          </w:p>
          <w:p w14:paraId="611C8A85" w14:textId="77777777" w:rsidR="009A7894" w:rsidRPr="003B14E9" w:rsidRDefault="009A7894" w:rsidP="009A7894">
            <w:pPr>
              <w:pStyle w:val="title-article-norm"/>
              <w:spacing w:before="0"/>
              <w:rPr>
                <w:i w:val="0"/>
                <w:sz w:val="18"/>
                <w:szCs w:val="18"/>
                <w:lang w:val="ro-MD"/>
              </w:rPr>
            </w:pPr>
            <w:r w:rsidRPr="003B14E9">
              <w:rPr>
                <w:i w:val="0"/>
                <w:sz w:val="18"/>
                <w:szCs w:val="18"/>
                <w:lang w:val="ro-MD"/>
              </w:rPr>
              <w:t>Definiții</w:t>
            </w:r>
          </w:p>
          <w:p w14:paraId="1EFAF5C6" w14:textId="77777777" w:rsidR="009A7894" w:rsidRPr="003B14E9" w:rsidRDefault="009A7894" w:rsidP="009A7894">
            <w:pPr>
              <w:pStyle w:val="title-article-norm"/>
              <w:spacing w:before="0"/>
              <w:jc w:val="both"/>
              <w:rPr>
                <w:i w:val="0"/>
                <w:sz w:val="18"/>
                <w:szCs w:val="18"/>
                <w:lang w:val="ro-MD"/>
              </w:rPr>
            </w:pPr>
            <w:r w:rsidRPr="003B14E9">
              <w:rPr>
                <w:sz w:val="18"/>
                <w:szCs w:val="18"/>
                <w:lang w:val="ro-MD"/>
              </w:rPr>
              <w:t>Articolul 271</w:t>
            </w:r>
            <w:r w:rsidRPr="003B14E9">
              <w:rPr>
                <w:i w:val="0"/>
                <w:sz w:val="18"/>
                <w:szCs w:val="18"/>
                <w:lang w:val="ro-MD"/>
              </w:rPr>
              <w:t xml:space="preserve"> </w:t>
            </w:r>
            <w:r w:rsidRPr="003B14E9">
              <w:rPr>
                <w:b/>
                <w:i w:val="0"/>
                <w:sz w:val="18"/>
                <w:szCs w:val="18"/>
                <w:lang w:val="ro-MD"/>
              </w:rPr>
              <w:t>Determinarea valorii expunerii</w:t>
            </w:r>
            <w:r w:rsidRPr="003B14E9">
              <w:rPr>
                <w:i w:val="0"/>
                <w:sz w:val="18"/>
                <w:szCs w:val="18"/>
                <w:lang w:val="ro-MD"/>
              </w:rPr>
              <w:t xml:space="preserve"> </w:t>
            </w:r>
          </w:p>
          <w:p w14:paraId="1CB35E29"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(1) O instituție trebuie să determine valoarea expunerii instrumentelor financiare derivate enumerate în anexa II în conformitate cu prezentul capitol. </w:t>
            </w:r>
          </w:p>
          <w:p w14:paraId="4425A1A0" w14:textId="77777777" w:rsidR="009A7894" w:rsidRPr="003B14E9" w:rsidRDefault="009A7894" w:rsidP="009A7894">
            <w:pPr>
              <w:pStyle w:val="CM4"/>
              <w:spacing w:after="120"/>
              <w:jc w:val="both"/>
              <w:rPr>
                <w:rFonts w:ascii="Times New Roman" w:hAnsi="Times New Roman"/>
                <w:b/>
                <w:sz w:val="18"/>
                <w:szCs w:val="18"/>
                <w:lang w:val="ro-MD"/>
              </w:rPr>
            </w:pPr>
          </w:p>
        </w:tc>
        <w:tc>
          <w:tcPr>
            <w:tcW w:w="4425" w:type="dxa"/>
            <w:shd w:val="clear" w:color="auto" w:fill="auto"/>
          </w:tcPr>
          <w:p w14:paraId="28300B56" w14:textId="77777777" w:rsidR="009A7894" w:rsidRPr="003B14E9" w:rsidRDefault="009A7894" w:rsidP="009A7894">
            <w:pPr>
              <w:pStyle w:val="CM4"/>
              <w:tabs>
                <w:tab w:val="left" w:pos="150"/>
              </w:tabs>
              <w:ind w:left="-43"/>
              <w:jc w:val="center"/>
              <w:rPr>
                <w:rFonts w:ascii="Times New Roman" w:hAnsi="Times New Roman"/>
                <w:i/>
                <w:iCs/>
                <w:sz w:val="18"/>
                <w:szCs w:val="18"/>
                <w:lang w:val="ro-MD"/>
              </w:rPr>
            </w:pPr>
            <w:r w:rsidRPr="003B14E9">
              <w:rPr>
                <w:rFonts w:ascii="Times New Roman" w:hAnsi="Times New Roman"/>
                <w:i/>
                <w:iCs/>
                <w:sz w:val="18"/>
                <w:szCs w:val="18"/>
                <w:lang w:val="ro-MD"/>
              </w:rPr>
              <w:t>Secțiunea a 2-a</w:t>
            </w:r>
          </w:p>
          <w:p w14:paraId="562F9DCF" w14:textId="77777777" w:rsidR="009A7894" w:rsidRPr="003B14E9" w:rsidRDefault="009A7894" w:rsidP="009A7894">
            <w:pPr>
              <w:pStyle w:val="CM4"/>
              <w:tabs>
                <w:tab w:val="left" w:pos="150"/>
              </w:tabs>
              <w:ind w:left="-43"/>
              <w:jc w:val="center"/>
              <w:rPr>
                <w:rFonts w:ascii="Times New Roman" w:hAnsi="Times New Roman"/>
                <w:b/>
                <w:bCs/>
                <w:sz w:val="18"/>
                <w:szCs w:val="18"/>
                <w:lang w:val="ro-MD"/>
              </w:rPr>
            </w:pPr>
            <w:r w:rsidRPr="003B14E9">
              <w:rPr>
                <w:rFonts w:ascii="Times New Roman" w:hAnsi="Times New Roman"/>
                <w:b/>
                <w:bCs/>
                <w:sz w:val="18"/>
                <w:szCs w:val="18"/>
                <w:lang w:val="ro-MD"/>
              </w:rPr>
              <w:t>Metode de calcul al valorii expunerii</w:t>
            </w:r>
          </w:p>
          <w:p w14:paraId="72B63EC1" w14:textId="7BC5F78C" w:rsidR="009A7894" w:rsidRPr="003B14E9" w:rsidRDefault="009A7894" w:rsidP="009A7894">
            <w:pPr>
              <w:tabs>
                <w:tab w:val="left" w:pos="540"/>
              </w:tabs>
              <w:ind w:left="-43"/>
              <w:jc w:val="both"/>
              <w:rPr>
                <w:color w:val="000000"/>
                <w:sz w:val="18"/>
                <w:szCs w:val="18"/>
                <w:lang w:val="ro-MD"/>
              </w:rPr>
            </w:pPr>
            <w:r w:rsidRPr="003B14E9">
              <w:rPr>
                <w:b/>
                <w:bCs/>
                <w:sz w:val="18"/>
                <w:szCs w:val="18"/>
                <w:lang w:val="ro-MD"/>
              </w:rPr>
              <w:t>6.</w:t>
            </w:r>
            <w:r w:rsidRPr="003B14E9">
              <w:rPr>
                <w:sz w:val="18"/>
                <w:szCs w:val="18"/>
                <w:lang w:val="ro-MD"/>
              </w:rPr>
              <w:t xml:space="preserve"> Banca calculează valoarea expunerii pentru contractele menţionate în anexa nr.1 la Regulamentul nr.114/2018 cu privire la tratamentul riscului de piaţă potrivit abordării standardizate, pe baza uneia dintre metodele prevăzute în capitolele III-V şi în conformitate cu prezentul capitol.</w:t>
            </w:r>
          </w:p>
        </w:tc>
        <w:tc>
          <w:tcPr>
            <w:tcW w:w="1160" w:type="dxa"/>
          </w:tcPr>
          <w:p w14:paraId="549264D4" w14:textId="74B69E88" w:rsidR="009A7894" w:rsidRPr="003B14E9" w:rsidRDefault="009A7894" w:rsidP="009A7894">
            <w:pPr>
              <w:jc w:val="both"/>
              <w:rPr>
                <w:sz w:val="18"/>
                <w:szCs w:val="18"/>
                <w:lang w:val="ro-MD"/>
              </w:rPr>
            </w:pPr>
            <w:r w:rsidRPr="003B14E9">
              <w:rPr>
                <w:sz w:val="18"/>
                <w:szCs w:val="18"/>
                <w:lang w:val="ro-MD"/>
              </w:rPr>
              <w:t>Compatibil</w:t>
            </w:r>
          </w:p>
        </w:tc>
        <w:tc>
          <w:tcPr>
            <w:tcW w:w="3041" w:type="dxa"/>
          </w:tcPr>
          <w:p w14:paraId="0F32F674"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31258706"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07B9C494" w14:textId="77777777" w:rsidR="009A7894" w:rsidRPr="003B14E9" w:rsidRDefault="009A7894" w:rsidP="009A7894">
            <w:pPr>
              <w:jc w:val="both"/>
              <w:rPr>
                <w:sz w:val="18"/>
                <w:szCs w:val="18"/>
                <w:lang w:val="ro-MD"/>
              </w:rPr>
            </w:pPr>
          </w:p>
        </w:tc>
      </w:tr>
      <w:tr w:rsidR="009A7894" w:rsidRPr="003B14E9" w14:paraId="6D98FB3E" w14:textId="77777777" w:rsidTr="00604EF1">
        <w:trPr>
          <w:trHeight w:val="918"/>
        </w:trPr>
        <w:tc>
          <w:tcPr>
            <w:tcW w:w="4473" w:type="dxa"/>
          </w:tcPr>
          <w:p w14:paraId="40309310" w14:textId="2195EDD1" w:rsidR="009A7894" w:rsidRPr="003B14E9" w:rsidRDefault="009A7894" w:rsidP="009A7894">
            <w:pPr>
              <w:pStyle w:val="CM4"/>
              <w:spacing w:after="120"/>
              <w:jc w:val="both"/>
              <w:rPr>
                <w:rFonts w:ascii="Times New Roman" w:hAnsi="Times New Roman"/>
                <w:b/>
                <w:sz w:val="18"/>
                <w:szCs w:val="18"/>
                <w:lang w:val="ro-MD"/>
              </w:rPr>
            </w:pPr>
            <w:r w:rsidRPr="003B14E9">
              <w:rPr>
                <w:rFonts w:ascii="Times New Roman" w:hAnsi="Times New Roman"/>
                <w:sz w:val="18"/>
                <w:szCs w:val="18"/>
                <w:lang w:val="ro-MD"/>
              </w:rPr>
              <w:t>(2) O instituție poate să determine valoarea expunerii tranzacțiilor de răscumpărare, a operațiunilor de dare sau luare de titluri sau mărfuri cu împrumut, a tranzacțiilor cu termen lung de decontare și a tranzacțiilor de creditare în marjă în conformitate cu prezentul capitol, în loc să utilizeze dispozițiile capitolului 4.</w:t>
            </w:r>
          </w:p>
        </w:tc>
        <w:tc>
          <w:tcPr>
            <w:tcW w:w="4425" w:type="dxa"/>
            <w:shd w:val="clear" w:color="auto" w:fill="auto"/>
          </w:tcPr>
          <w:p w14:paraId="2286B62A" w14:textId="0FD1308A" w:rsidR="009A7894" w:rsidRPr="003B14E9" w:rsidRDefault="009A7894" w:rsidP="009A7894">
            <w:pPr>
              <w:tabs>
                <w:tab w:val="left" w:pos="540"/>
              </w:tabs>
              <w:ind w:left="-43"/>
              <w:jc w:val="both"/>
              <w:rPr>
                <w:color w:val="000000"/>
                <w:sz w:val="18"/>
                <w:szCs w:val="18"/>
                <w:lang w:val="ro-MD"/>
              </w:rPr>
            </w:pPr>
            <w:bookmarkStart w:id="1" w:name="_Ref7013408"/>
            <w:r w:rsidRPr="003B14E9">
              <w:rPr>
                <w:b/>
                <w:bCs/>
                <w:sz w:val="18"/>
                <w:szCs w:val="18"/>
                <w:lang w:val="ro-MD"/>
              </w:rPr>
              <w:t>4.</w:t>
            </w:r>
            <w:r w:rsidRPr="003B14E9">
              <w:rPr>
                <w:sz w:val="18"/>
                <w:szCs w:val="18"/>
                <w:lang w:val="ro-MD"/>
              </w:rPr>
              <w:t>Banca este în drept să determine valoarea expunerii tranzacţiilor de răscumpărare, a operaţiunilor de dare sau luare de titluri sau mărfuri cu împrumut, a tranzacţiilor cu termen lung de decontare şi a tranzacţiilor de creditare în marjă în conformitate cu prezentul regulament, fără utilizarea dispoziţiilor Regulamentului nr.112/2018 cu privire la tehnicile de diminuare a riscului de credit utilizate de bănci</w:t>
            </w:r>
            <w:r w:rsidRPr="003B14E9">
              <w:rPr>
                <w:b/>
                <w:bCs/>
                <w:sz w:val="18"/>
                <w:szCs w:val="18"/>
                <w:lang w:val="ro-MD"/>
              </w:rPr>
              <w:t>.</w:t>
            </w:r>
            <w:bookmarkEnd w:id="1"/>
          </w:p>
        </w:tc>
        <w:tc>
          <w:tcPr>
            <w:tcW w:w="1160" w:type="dxa"/>
          </w:tcPr>
          <w:p w14:paraId="25072B92" w14:textId="673FC7CA" w:rsidR="009A7894" w:rsidRPr="003B14E9" w:rsidRDefault="009A7894" w:rsidP="009A7894">
            <w:pPr>
              <w:jc w:val="both"/>
              <w:rPr>
                <w:sz w:val="18"/>
                <w:szCs w:val="18"/>
                <w:lang w:val="ro-MD"/>
              </w:rPr>
            </w:pPr>
            <w:r w:rsidRPr="003B14E9">
              <w:rPr>
                <w:sz w:val="18"/>
                <w:szCs w:val="18"/>
                <w:lang w:val="ro-MD"/>
              </w:rPr>
              <w:t>Compatibil</w:t>
            </w:r>
          </w:p>
        </w:tc>
        <w:tc>
          <w:tcPr>
            <w:tcW w:w="3041" w:type="dxa"/>
          </w:tcPr>
          <w:p w14:paraId="1F1F505D"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0F5ACED6"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29BDB36C" w14:textId="77777777" w:rsidR="009A7894" w:rsidRPr="003B14E9" w:rsidRDefault="009A7894" w:rsidP="009A7894">
            <w:pPr>
              <w:jc w:val="both"/>
              <w:rPr>
                <w:sz w:val="18"/>
                <w:szCs w:val="18"/>
                <w:lang w:val="ro-MD"/>
              </w:rPr>
            </w:pPr>
          </w:p>
        </w:tc>
      </w:tr>
      <w:tr w:rsidR="00231F49" w:rsidRPr="003B14E9" w14:paraId="7463B36B" w14:textId="77777777" w:rsidTr="00604EF1">
        <w:trPr>
          <w:trHeight w:val="918"/>
        </w:trPr>
        <w:tc>
          <w:tcPr>
            <w:tcW w:w="4473" w:type="dxa"/>
          </w:tcPr>
          <w:p w14:paraId="14E0904A" w14:textId="77777777" w:rsidR="00231F49" w:rsidRPr="003B14E9" w:rsidRDefault="00231F49" w:rsidP="00231F49">
            <w:pPr>
              <w:pStyle w:val="title-article-norm"/>
              <w:jc w:val="both"/>
              <w:rPr>
                <w:i w:val="0"/>
                <w:sz w:val="18"/>
                <w:szCs w:val="18"/>
                <w:lang w:val="ro-MD"/>
              </w:rPr>
            </w:pPr>
            <w:r w:rsidRPr="003B14E9">
              <w:rPr>
                <w:sz w:val="18"/>
                <w:szCs w:val="18"/>
                <w:lang w:val="ro-MD"/>
              </w:rPr>
              <w:lastRenderedPageBreak/>
              <w:t>Articolul 272</w:t>
            </w:r>
            <w:r w:rsidRPr="003B14E9">
              <w:rPr>
                <w:i w:val="0"/>
                <w:sz w:val="18"/>
                <w:szCs w:val="18"/>
                <w:lang w:val="ro-MD"/>
              </w:rPr>
              <w:t xml:space="preserve"> </w:t>
            </w:r>
            <w:r w:rsidRPr="003B14E9">
              <w:rPr>
                <w:b/>
                <w:i w:val="0"/>
                <w:sz w:val="18"/>
                <w:szCs w:val="18"/>
                <w:lang w:val="ro-MD"/>
              </w:rPr>
              <w:t xml:space="preserve">Definiții </w:t>
            </w:r>
          </w:p>
          <w:p w14:paraId="060C1CAF"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În sensul prezentului capitol și al titlului VI de la prezenta parte, se aplică următoarele definiții: </w:t>
            </w:r>
          </w:p>
          <w:p w14:paraId="19B52916"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Termeni generali </w:t>
            </w:r>
          </w:p>
          <w:p w14:paraId="55F5FDB8" w14:textId="77777777" w:rsidR="00231F49" w:rsidRPr="003B14E9" w:rsidRDefault="00231F49" w:rsidP="00231F49">
            <w:pPr>
              <w:pStyle w:val="title-article-norm"/>
              <w:numPr>
                <w:ilvl w:val="0"/>
                <w:numId w:val="7"/>
              </w:numPr>
              <w:tabs>
                <w:tab w:val="left" w:pos="192"/>
              </w:tabs>
              <w:ind w:left="0" w:firstLine="0"/>
              <w:jc w:val="both"/>
              <w:rPr>
                <w:i w:val="0"/>
                <w:sz w:val="18"/>
                <w:szCs w:val="18"/>
                <w:lang w:val="ro-MD"/>
              </w:rPr>
            </w:pPr>
            <w:r w:rsidRPr="003B14E9">
              <w:rPr>
                <w:i w:val="0"/>
                <w:sz w:val="18"/>
                <w:szCs w:val="18"/>
                <w:lang w:val="ro-MD"/>
              </w:rPr>
              <w:t>„risc de credit al contrapărții” (CCR) înseamnă riscul ca o contraparte la o tranzacție să intre în stare de nerambursare înainte de decontarea finală a fluxurilor de numerar aferente tranzacției;</w:t>
            </w:r>
          </w:p>
          <w:p w14:paraId="591355AE"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Tipuri de tranzacții </w:t>
            </w:r>
          </w:p>
          <w:p w14:paraId="55CAEC3F" w14:textId="77777777" w:rsidR="00231F49" w:rsidRPr="003B14E9" w:rsidRDefault="00231F49" w:rsidP="00231F49">
            <w:pPr>
              <w:pStyle w:val="title-article-norm"/>
              <w:jc w:val="both"/>
              <w:rPr>
                <w:i w:val="0"/>
                <w:sz w:val="18"/>
                <w:szCs w:val="18"/>
                <w:lang w:val="ro-MD"/>
              </w:rPr>
            </w:pPr>
            <w:r w:rsidRPr="003B14E9">
              <w:rPr>
                <w:i w:val="0"/>
                <w:sz w:val="18"/>
                <w:szCs w:val="18"/>
                <w:lang w:val="ro-MD"/>
              </w:rPr>
              <w:t>2. „tranzacții cu termen lung de decontare” înseamnă tranzacții în care o contraparte se angajează să livreze un titlu, o marfă sau o sumă în valută contra numerar, alte instrumente financiare sau mărfuri, sau invers, la o dată de decontare sau de livrare, specificată prin contract, care depășește durata standard pe piață pentru acest tip particular de tranzacție sau cinci zile lucrătoare de la data la care instituția a intrat în tranzacție, dacă această a doua durată este mai scurtă;</w:t>
            </w:r>
          </w:p>
          <w:p w14:paraId="64D60646"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3. „tranzacții de creditare în marjă” înseamnă tranzacții în care o instituție acordă credit în legătură cu achiziționarea, vânzarea, deținerea sau tranzacționarea de titluri. Tranzacțiile de creditare în marjă nu includ alte împrumuturi care sunt acoperite cu garanții reale sub formă de titluri; </w:t>
            </w:r>
          </w:p>
          <w:p w14:paraId="01BBA006" w14:textId="77777777" w:rsidR="00231F49" w:rsidRPr="003B14E9" w:rsidRDefault="00231F49" w:rsidP="00231F49">
            <w:pPr>
              <w:pStyle w:val="title-article-norm"/>
              <w:jc w:val="both"/>
              <w:rPr>
                <w:i w:val="0"/>
                <w:sz w:val="18"/>
                <w:szCs w:val="18"/>
                <w:lang w:val="ro-MD"/>
              </w:rPr>
            </w:pPr>
            <w:r w:rsidRPr="003B14E9">
              <w:rPr>
                <w:i w:val="0"/>
                <w:sz w:val="18"/>
                <w:szCs w:val="18"/>
                <w:lang w:val="ro-MD"/>
              </w:rPr>
              <w:t>Seturi de compensare, seturi de acoperire a riscului și termeni conecși</w:t>
            </w:r>
          </w:p>
          <w:p w14:paraId="15F6AB92" w14:textId="77777777" w:rsidR="00231F49" w:rsidRPr="003B14E9" w:rsidRDefault="00231F49" w:rsidP="00231F49">
            <w:pPr>
              <w:pStyle w:val="title-article-norm"/>
              <w:numPr>
                <w:ilvl w:val="0"/>
                <w:numId w:val="8"/>
              </w:numPr>
              <w:tabs>
                <w:tab w:val="left" w:pos="192"/>
              </w:tabs>
              <w:ind w:left="0" w:firstLine="0"/>
              <w:jc w:val="both"/>
              <w:rPr>
                <w:i w:val="0"/>
                <w:sz w:val="18"/>
                <w:szCs w:val="18"/>
                <w:lang w:val="ro-MD"/>
              </w:rPr>
            </w:pPr>
            <w:r w:rsidRPr="003B14E9">
              <w:rPr>
                <w:i w:val="0"/>
                <w:sz w:val="18"/>
                <w:szCs w:val="18"/>
                <w:lang w:val="ro-MD"/>
              </w:rPr>
              <w:lastRenderedPageBreak/>
              <w:t xml:space="preserve">„set de compensare” înseamnă un grup de tranzacții între o instituție și o singură contraparte, care face obiectul unui acord de compensare bilaterală executoriu din punct de vedere juridic și recunoscut în conformitate cu secțiunea 7 și cu capitolul 4. </w:t>
            </w:r>
          </w:p>
          <w:p w14:paraId="3320CC05" w14:textId="77777777" w:rsidR="00231F49" w:rsidRPr="003B14E9" w:rsidRDefault="00231F49" w:rsidP="00231F49">
            <w:pPr>
              <w:pStyle w:val="title-article-norm"/>
              <w:tabs>
                <w:tab w:val="left" w:pos="192"/>
              </w:tabs>
              <w:jc w:val="both"/>
              <w:rPr>
                <w:i w:val="0"/>
                <w:sz w:val="18"/>
                <w:szCs w:val="18"/>
                <w:lang w:val="ro-MD"/>
              </w:rPr>
            </w:pPr>
            <w:r w:rsidRPr="003B14E9">
              <w:rPr>
                <w:i w:val="0"/>
                <w:sz w:val="18"/>
                <w:szCs w:val="18"/>
                <w:lang w:val="ro-MD"/>
              </w:rPr>
              <w:t xml:space="preserve">Orice tranzacție care nu face obiectul unui acord de compensare bilaterală executoriu din punct de vedere juridic și recunoscut în conformitate cu secțiunea 7 trebuie tratată ca fiind ea însăși un set de compensare în sensul prezentului capitol. </w:t>
            </w:r>
          </w:p>
          <w:p w14:paraId="0C3FAD58" w14:textId="77777777" w:rsidR="00231F49" w:rsidRPr="003B14E9" w:rsidRDefault="00231F49" w:rsidP="00231F49">
            <w:pPr>
              <w:pStyle w:val="title-article-norm"/>
              <w:tabs>
                <w:tab w:val="left" w:pos="192"/>
              </w:tabs>
              <w:jc w:val="both"/>
              <w:rPr>
                <w:i w:val="0"/>
                <w:sz w:val="18"/>
                <w:szCs w:val="18"/>
                <w:lang w:val="ro-MD"/>
              </w:rPr>
            </w:pPr>
            <w:r w:rsidRPr="003B14E9">
              <w:rPr>
                <w:i w:val="0"/>
                <w:sz w:val="18"/>
                <w:szCs w:val="18"/>
                <w:lang w:val="ro-MD"/>
              </w:rPr>
              <w:t xml:space="preserve">În cadrul metodei modelului intern prevăzută în secțiunea 6, toate seturile de compensare cu o singură contraparte pot fi tratate ca un singur set de compensare, dacă valorile de piață simulate negative ale fiecărui set de compensare sunt stabilite la 0 în estimarea expunerii așteptate (EE); </w:t>
            </w:r>
          </w:p>
          <w:p w14:paraId="01E9AE10"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5. „poziție de risc” înseamnă o valoare de risc care este atribuită unei tranzacții, pe baza unui algoritm predeterminat, în cadrul metodei standardizate prevăzute în secțiunea 5; </w:t>
            </w:r>
          </w:p>
          <w:p w14:paraId="7CC74BEA" w14:textId="77777777" w:rsidR="00231F49" w:rsidRPr="003B14E9" w:rsidRDefault="00231F49" w:rsidP="00231F49">
            <w:pPr>
              <w:pStyle w:val="title-article-norm"/>
              <w:jc w:val="both"/>
              <w:rPr>
                <w:i w:val="0"/>
                <w:sz w:val="18"/>
                <w:szCs w:val="18"/>
                <w:lang w:val="ro-MD"/>
              </w:rPr>
            </w:pPr>
            <w:r w:rsidRPr="003B14E9">
              <w:rPr>
                <w:i w:val="0"/>
                <w:sz w:val="18"/>
                <w:szCs w:val="18"/>
                <w:lang w:val="ro-MD"/>
              </w:rPr>
              <w:t>6. „set de acoperire a riscului” înseamnă un grup de tranzacţii din cadrul unui singur set de compensare în cazul căruia compensarea integrală sau parţială este autorizată pentru determinarea expunerii viitoare potenţiale în conformitate cu metodele prevăzute în secţiunea 3 sau 4 din prezentul capitol;</w:t>
            </w:r>
          </w:p>
          <w:p w14:paraId="04B84161"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7. „contract în marjă” înseamnă un acord sau dispozițiile unui acord, conform căruia o contraparte trebuie să furnizeze garanții reale unei a doua contrapărți, atunci când </w:t>
            </w:r>
            <w:r w:rsidRPr="003B14E9">
              <w:rPr>
                <w:i w:val="0"/>
                <w:sz w:val="18"/>
                <w:szCs w:val="18"/>
                <w:lang w:val="ro-MD"/>
              </w:rPr>
              <w:lastRenderedPageBreak/>
              <w:t>o expunere a celei de-a doua contrapărți față de prima contraparte depășește un nivel specificat;</w:t>
            </w:r>
          </w:p>
          <w:p w14:paraId="2BB0E9E6"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8. „prag de marjă” înseamnă cel mai mare cuantumpe care îl poate atinge o expunere în curs, înainte ca o parte să aibă dreptul să solicite garanții reale; </w:t>
            </w:r>
          </w:p>
          <w:p w14:paraId="3D09F738"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9. „perioadă de risc de marjă” înseamnă perioada de la ultimul schimb de garanții reale care acoperă un set de compensare de tranzacții cu o contraparte aflată în stare de nerambursare până la momentul la care tranzacțiile sunt închise și riscul de piață rezultat face obiectul unei noi acoperiri; </w:t>
            </w:r>
          </w:p>
          <w:p w14:paraId="425DF0F1"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10. „scadență efectivă” conform metodei modelului intern pentru un set de compensare cu scadența mai mare de un an înseamnă raportul dintre suma expunerilor așteptate pe durata de viață a tranzacțiilor din setul de compensare, actualizată cu rata randamentului fără risc, și suma expunerilor așteptate pe durata unui an în setul de compensare, actualizată cu rata randamentului fără risc. Scadența efectivă poate fi ajustată pentru a ține seama de riscul de reînnoire, prin înlocuirea expunerii așteptate cu expunerea așteptată efectivă pentru orizonturi de previzionare mai mici de un an; </w:t>
            </w:r>
          </w:p>
          <w:p w14:paraId="28F11FF9"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11. „compensare între produse diferite” înseamnă includerea, în același set de compensare, a unor tranzacții privind categorii diferite de produse, în conformitate cu normele de compensare între produse diferite, stabilite în prezentul capitol; </w:t>
            </w:r>
          </w:p>
          <w:p w14:paraId="456465CE"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12. „valoarea de piață curentă” sau „CMV” înseamnă valoarea netă de piaţă a tuturor tranzacţiilor din cadrul unui set de compensare înainte de deducerea oricărei garanţii </w:t>
            </w:r>
            <w:r w:rsidRPr="003B14E9">
              <w:rPr>
                <w:i w:val="0"/>
                <w:sz w:val="18"/>
                <w:szCs w:val="18"/>
                <w:lang w:val="ro-MD"/>
              </w:rPr>
              <w:lastRenderedPageBreak/>
              <w:t xml:space="preserve">reale deţinute sau furnizate, valorile de piaţă pozitive fiind compensate cu cele negative la calcularea CMV;  </w:t>
            </w:r>
          </w:p>
          <w:p w14:paraId="37A25B37" w14:textId="77777777" w:rsidR="00231F49" w:rsidRPr="003B14E9" w:rsidRDefault="00231F49" w:rsidP="00231F49">
            <w:pPr>
              <w:pStyle w:val="title-article-norm"/>
              <w:jc w:val="both"/>
              <w:rPr>
                <w:i w:val="0"/>
                <w:sz w:val="18"/>
                <w:szCs w:val="18"/>
                <w:lang w:val="ro-MD"/>
              </w:rPr>
            </w:pPr>
            <w:r w:rsidRPr="003B14E9">
              <w:rPr>
                <w:i w:val="0"/>
                <w:sz w:val="18"/>
                <w:szCs w:val="18"/>
                <w:lang w:val="ro-MD"/>
              </w:rPr>
              <w:t>12a. „suma independentă netă a garanţiilor reale” sau „NICA” înseamnă suma valorilor ajustate în funcţie de volatilitate ale garanţiilor reale nete primite sau furnizate, după caz, în cadrul setului de compensare, altele decât marja de variaţie;</w:t>
            </w:r>
          </w:p>
          <w:p w14:paraId="6A921C7A"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Distribuții </w:t>
            </w:r>
          </w:p>
          <w:p w14:paraId="025B69D0"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13. „distribuția valorilor de piață” înseamnă distribuția de probabilitate previzionată a valorilor de piață nete ale tranzacțiilor din cadrul unui set de compensare la o dată viitoare (orizont de previzionare), pe baza valorilor de piață realizate ale tranzacțiilor respective la data previzionării; </w:t>
            </w:r>
          </w:p>
          <w:p w14:paraId="07F6FCD9"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14. „distribuția expunerilor” înseamnă distribuția de probabilitate previzionată a valorilor de piață, care se obține dacă valorile de piață nete negative previzionate se stabilesc la 0; </w:t>
            </w:r>
          </w:p>
          <w:p w14:paraId="294ED1B9" w14:textId="77777777" w:rsidR="00231F49" w:rsidRPr="003B14E9" w:rsidRDefault="00231F49" w:rsidP="00231F49">
            <w:pPr>
              <w:pStyle w:val="title-article-norm"/>
              <w:jc w:val="both"/>
              <w:rPr>
                <w:i w:val="0"/>
                <w:sz w:val="18"/>
                <w:szCs w:val="18"/>
                <w:lang w:val="ro-MD"/>
              </w:rPr>
            </w:pPr>
            <w:r w:rsidRPr="003B14E9">
              <w:rPr>
                <w:i w:val="0"/>
                <w:sz w:val="18"/>
                <w:szCs w:val="18"/>
                <w:lang w:val="ro-MD"/>
              </w:rPr>
              <w:t>15. „distribuția neutră la risc” înseamnă o distribuție a valorilor de piață sau a expunerilor pe o perioadă viitoare, calculată pe baza valorilor de piață implicite, precum volatilitățile implicite;</w:t>
            </w:r>
          </w:p>
          <w:p w14:paraId="4FD07C37"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16. „distribuție efectivă” înseamnă o distribuție a valorilor de piață sau a expunerilor pe o perioadă viitoare, calculată pe baza valorilor istorice sau realizate, precum volatilitățile calculate pe baza variațiilor înregistrate în trecut ale prețurilor sau ratelor; </w:t>
            </w:r>
          </w:p>
          <w:p w14:paraId="0C3A28A8"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Măsurări și ajustări ale expunerii </w:t>
            </w:r>
          </w:p>
          <w:p w14:paraId="2E366895" w14:textId="77777777" w:rsidR="00231F49" w:rsidRPr="003B14E9" w:rsidRDefault="00231F49" w:rsidP="00231F49">
            <w:pPr>
              <w:pStyle w:val="title-article-norm"/>
              <w:jc w:val="both"/>
              <w:rPr>
                <w:i w:val="0"/>
                <w:sz w:val="18"/>
                <w:szCs w:val="18"/>
                <w:lang w:val="ro-MD"/>
              </w:rPr>
            </w:pPr>
            <w:r w:rsidRPr="003B14E9">
              <w:rPr>
                <w:i w:val="0"/>
                <w:sz w:val="18"/>
                <w:szCs w:val="18"/>
                <w:lang w:val="ro-MD"/>
              </w:rPr>
              <w:lastRenderedPageBreak/>
              <w:t xml:space="preserve">17. „expunere curentă” este valoarea mai mare dintre zero și valoarea de piață a unei tranzacții sau a unui portofoliu de tranzacții din cadrul unui set de compensare cu o contraparte, care s-ar pierde prin intrarea contrapărții în stare de nerambursare, presupunând că valoarea tranzacțiilor respective nu poate fi recuperată, nici parțial, în caz de insolvență sau de lichidare; </w:t>
            </w:r>
          </w:p>
          <w:p w14:paraId="7856F4C4"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18. „expunere maximă” înseamnă o centilă superioară a distribuției expunerilor la o anumită dată viitoare, anterioară datei scadenței tranzacției cu cea mai lungă durată din setul de compensare; </w:t>
            </w:r>
          </w:p>
          <w:p w14:paraId="3AF8FED6"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19. „expunere așteptată” (EE) înseamnă media distribuției expunerilor, la o anumită dată viitoare, înainte de data scadenței tranzacției cu cea mai lungă durată din setul de compensare; </w:t>
            </w:r>
          </w:p>
          <w:p w14:paraId="7D55267D"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20. „expunere așteptată efectivă la o dată specifică” (denumită în continuare „EE efectivă”) este valoarea maximă a expunerii așteptate din data respectivă sau din orice dată anterioară. Expunerea așteptată efectivă la o dată specifică se mai poate, de asemenea, defini ca valoarea mai mare dintre expunerea așteptată la data respectivă și expunerea așteptată efectivă la orice dată anterioară; </w:t>
            </w:r>
          </w:p>
          <w:p w14:paraId="46B285F1"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21. „expunerea pozitivă așteptată” (EPE) înseamnă media ponderată în timp a expunerilor așteptate, în care ponderile sunt proporțiile din întreaga perioadă care corespund fiecărei expuneri așteptate. </w:t>
            </w:r>
          </w:p>
          <w:p w14:paraId="49C94432"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La calculul cerinței de fonduri proprii, instituțiile utilizează media pe primul an sau, dacă toate contractele din setul de compensare ajung la scadență în mai puțin de un an, pe durata în care contractul cu cea mai mare scadență din setul de compensare ajunge la scadență; </w:t>
            </w:r>
          </w:p>
          <w:p w14:paraId="4949FD3E" w14:textId="77777777" w:rsidR="00231F49" w:rsidRPr="003B14E9" w:rsidRDefault="00231F49" w:rsidP="00231F49">
            <w:pPr>
              <w:pStyle w:val="title-article-norm"/>
              <w:jc w:val="both"/>
              <w:rPr>
                <w:i w:val="0"/>
                <w:sz w:val="18"/>
                <w:szCs w:val="18"/>
                <w:lang w:val="ro-MD"/>
              </w:rPr>
            </w:pPr>
            <w:r w:rsidRPr="003B14E9">
              <w:rPr>
                <w:i w:val="0"/>
                <w:sz w:val="18"/>
                <w:szCs w:val="18"/>
                <w:lang w:val="ro-MD"/>
              </w:rPr>
              <w:lastRenderedPageBreak/>
              <w:t>22. „expunerea pozitivă așteptată efectivă” (denumită în continuare „EPE efectivă”) înseamnă media ponderată a expunerilor așteptate efective pe primul an al unui set de compensare sau, dacă toate contractele din setul de compensare ajung la scadență în mai puțin de un an, pe durata contractului cu cea mai mare scadență din setul de compensare, în care ponderile sunt proporțiile din întreaga perioadă care corespund fiecărei expuneri așteptate;</w:t>
            </w:r>
          </w:p>
          <w:p w14:paraId="36850D83"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Riscuri asociate CCR </w:t>
            </w:r>
          </w:p>
          <w:p w14:paraId="29643A33"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23. „risc de reînnoire” înseamnă măsura în care expunerea pozitivă așteptată este subestimată, atunci când se prevede că tranzacțiile viitoare cu o contraparte se vor desfășura în mod continuu. </w:t>
            </w:r>
          </w:p>
          <w:p w14:paraId="051987AE"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Expunerea suplimentară generată de aceste tranzacții viitoare nu se include în calculul expunerii pozitive așteptate; </w:t>
            </w:r>
          </w:p>
          <w:p w14:paraId="3F76C6D3"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24. „contraparte” în sensul secțiunii 7 înseamnă orice persoană juridică sau fizică care participă la un acord de compensare și are capacitatea contractuală necesară în acest sens; </w:t>
            </w:r>
          </w:p>
          <w:p w14:paraId="4AB6515C" w14:textId="77777777" w:rsidR="00231F49" w:rsidRPr="003B14E9" w:rsidRDefault="00231F49" w:rsidP="00231F49">
            <w:pPr>
              <w:pStyle w:val="title-article-norm"/>
              <w:jc w:val="both"/>
              <w:rPr>
                <w:i w:val="0"/>
                <w:sz w:val="18"/>
                <w:szCs w:val="18"/>
                <w:lang w:val="ro-MD"/>
              </w:rPr>
            </w:pPr>
            <w:r w:rsidRPr="003B14E9">
              <w:rPr>
                <w:i w:val="0"/>
                <w:sz w:val="18"/>
                <w:szCs w:val="18"/>
                <w:lang w:val="ro-MD"/>
              </w:rPr>
              <w:t>25. „acord de compensare contractuală între produse diferite” înseamnă un acord contractual bilateral între o instituție și o contraparte, care creează o obligație juridică unică (pe baza compensării tranzacțiilor acoperite) ce acoperă toate acordurile-cadru bilaterale și toate tranzacțiile privind diferite categorii de produse, incluse în acest acord.</w:t>
            </w:r>
          </w:p>
          <w:p w14:paraId="4F5C25EA" w14:textId="77777777" w:rsidR="00231F49" w:rsidRPr="003B14E9" w:rsidRDefault="00231F49" w:rsidP="00231F49">
            <w:pPr>
              <w:pStyle w:val="title-article-norm"/>
              <w:jc w:val="both"/>
              <w:rPr>
                <w:i w:val="0"/>
                <w:sz w:val="18"/>
                <w:szCs w:val="18"/>
                <w:lang w:val="ro-MD"/>
              </w:rPr>
            </w:pPr>
            <w:r w:rsidRPr="003B14E9">
              <w:rPr>
                <w:i w:val="0"/>
                <w:sz w:val="18"/>
                <w:szCs w:val="18"/>
                <w:lang w:val="ro-MD"/>
              </w:rPr>
              <w:lastRenderedPageBreak/>
              <w:t xml:space="preserve">În sensul prezentei definiții, „categorii diferite de produse” înseamnă: </w:t>
            </w:r>
          </w:p>
          <w:p w14:paraId="1D2766A4"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(a) tranzacții de răscumpărare, operațiuni de dare și luare de titluri și mărfuri cu împrumut; </w:t>
            </w:r>
          </w:p>
          <w:p w14:paraId="0B9952E2"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(b) tranzacțiile de creditare în marjă. </w:t>
            </w:r>
          </w:p>
          <w:p w14:paraId="140D6F83"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(c) contractele enumerate în anexa II; </w:t>
            </w:r>
          </w:p>
          <w:p w14:paraId="627BAC09" w14:textId="77777777" w:rsidR="00231F49" w:rsidRPr="003B14E9" w:rsidRDefault="00231F49" w:rsidP="00231F49">
            <w:pPr>
              <w:pStyle w:val="title-article-norm"/>
              <w:jc w:val="both"/>
              <w:rPr>
                <w:i w:val="0"/>
                <w:sz w:val="18"/>
                <w:szCs w:val="18"/>
                <w:lang w:val="ro-MD"/>
              </w:rPr>
            </w:pPr>
            <w:r w:rsidRPr="003B14E9">
              <w:rPr>
                <w:i w:val="0"/>
                <w:sz w:val="18"/>
                <w:szCs w:val="18"/>
                <w:lang w:val="ro-MD"/>
              </w:rPr>
              <w:t xml:space="preserve">26. „segment de plată” înseamnă plata convenită la o tranzacție cu un instrument financiar derivat extrabursier, care are un profil de risc liniar și prevede schimbul unui instrument financiar contra unei plăți. </w:t>
            </w:r>
          </w:p>
          <w:p w14:paraId="73AD35DB" w14:textId="3D83BEFE" w:rsidR="00231F49" w:rsidRPr="003B14E9" w:rsidRDefault="00231F49" w:rsidP="00231F49">
            <w:pPr>
              <w:pStyle w:val="CM4"/>
              <w:spacing w:after="120"/>
              <w:jc w:val="both"/>
              <w:rPr>
                <w:rFonts w:ascii="Times New Roman" w:hAnsi="Times New Roman"/>
                <w:b/>
                <w:sz w:val="18"/>
                <w:szCs w:val="18"/>
                <w:lang w:val="ro-MD"/>
              </w:rPr>
            </w:pPr>
            <w:r w:rsidRPr="003B14E9">
              <w:rPr>
                <w:rFonts w:ascii="Times New Roman" w:hAnsi="Times New Roman"/>
                <w:sz w:val="18"/>
                <w:szCs w:val="18"/>
                <w:lang w:val="ro-MD"/>
              </w:rPr>
              <w:t>În cazul tranzacțiilor care prevăd schimbul unei plăți contra altei plăți, aceste două segmente de plată constau în plăți brute convenite prin contract, incluzând valoarea noțională a tranzacției.</w:t>
            </w:r>
          </w:p>
        </w:tc>
        <w:tc>
          <w:tcPr>
            <w:tcW w:w="4425" w:type="dxa"/>
            <w:shd w:val="clear" w:color="auto" w:fill="auto"/>
          </w:tcPr>
          <w:p w14:paraId="267F047E" w14:textId="77777777" w:rsidR="00231F49" w:rsidRPr="003B14E9" w:rsidRDefault="00231F49" w:rsidP="00231F49">
            <w:pPr>
              <w:jc w:val="center"/>
              <w:rPr>
                <w:b/>
                <w:sz w:val="18"/>
                <w:szCs w:val="18"/>
                <w:lang w:val="ro-MD"/>
              </w:rPr>
            </w:pPr>
            <w:r w:rsidRPr="003B14E9">
              <w:rPr>
                <w:b/>
                <w:sz w:val="18"/>
                <w:szCs w:val="18"/>
                <w:lang w:val="ro-MD"/>
              </w:rPr>
              <w:lastRenderedPageBreak/>
              <w:t xml:space="preserve">Capitolul I. Dispoziții generale </w:t>
            </w:r>
          </w:p>
          <w:p w14:paraId="71DC2F9C" w14:textId="77777777" w:rsidR="00231F49" w:rsidRPr="003B14E9" w:rsidRDefault="00231F49" w:rsidP="00231F49">
            <w:pPr>
              <w:jc w:val="center"/>
              <w:rPr>
                <w:i/>
                <w:sz w:val="18"/>
                <w:szCs w:val="18"/>
                <w:lang w:val="ro-MD"/>
              </w:rPr>
            </w:pPr>
          </w:p>
          <w:p w14:paraId="271B6BB5" w14:textId="77777777" w:rsidR="00231F49" w:rsidRPr="003B14E9" w:rsidRDefault="00231F49" w:rsidP="00231F49">
            <w:pPr>
              <w:pStyle w:val="CM4"/>
              <w:tabs>
                <w:tab w:val="left" w:pos="150"/>
              </w:tabs>
              <w:jc w:val="center"/>
              <w:rPr>
                <w:rFonts w:ascii="Times New Roman" w:hAnsi="Times New Roman"/>
                <w:i/>
                <w:color w:val="0000CC"/>
                <w:sz w:val="18"/>
                <w:szCs w:val="18"/>
                <w:lang w:val="ro-MD"/>
              </w:rPr>
            </w:pPr>
            <w:r w:rsidRPr="003B14E9">
              <w:rPr>
                <w:rFonts w:ascii="Times New Roman" w:hAnsi="Times New Roman"/>
                <w:i/>
                <w:sz w:val="18"/>
                <w:szCs w:val="18"/>
                <w:lang w:val="ro-MD"/>
              </w:rPr>
              <w:t>Secțiunea 1. Domeniu de aplicare şi noţiuni</w:t>
            </w:r>
          </w:p>
          <w:p w14:paraId="61FFD84B" w14:textId="77777777" w:rsidR="00231F49" w:rsidRPr="003B14E9" w:rsidRDefault="00231F49" w:rsidP="00231F49">
            <w:pPr>
              <w:jc w:val="center"/>
              <w:rPr>
                <w:i/>
                <w:sz w:val="18"/>
                <w:szCs w:val="18"/>
                <w:lang w:val="ro-MD"/>
              </w:rPr>
            </w:pPr>
          </w:p>
          <w:p w14:paraId="2F199169" w14:textId="77777777" w:rsidR="00231F49" w:rsidRPr="003B14E9" w:rsidRDefault="00231F49" w:rsidP="00231F49">
            <w:pPr>
              <w:tabs>
                <w:tab w:val="left" w:pos="540"/>
              </w:tabs>
              <w:jc w:val="both"/>
              <w:rPr>
                <w:color w:val="000000"/>
                <w:sz w:val="18"/>
                <w:szCs w:val="18"/>
                <w:lang w:val="ro-MD"/>
              </w:rPr>
            </w:pPr>
            <w:r w:rsidRPr="003B14E9">
              <w:rPr>
                <w:b/>
                <w:bCs/>
                <w:color w:val="000000"/>
                <w:sz w:val="18"/>
                <w:szCs w:val="18"/>
                <w:lang w:val="ro-MD"/>
              </w:rPr>
              <w:t>3.</w:t>
            </w:r>
            <w:r w:rsidRPr="003B14E9">
              <w:rPr>
                <w:color w:val="000000"/>
                <w:sz w:val="18"/>
                <w:szCs w:val="18"/>
                <w:lang w:val="ro-MD"/>
              </w:rPr>
              <w:t xml:space="preserve"> În sensul prezentului regulament se utilizează următoarele noţiuni:</w:t>
            </w:r>
          </w:p>
          <w:p w14:paraId="02EC2CA9"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acord de compensare contractuală</w:t>
            </w:r>
            <w:r w:rsidRPr="003B14E9">
              <w:rPr>
                <w:sz w:val="18"/>
                <w:szCs w:val="18"/>
                <w:lang w:val="ro-RO" w:eastAsia="en-US"/>
              </w:rPr>
              <w:t xml:space="preserve"> </w:t>
            </w:r>
            <w:r w:rsidRPr="003B14E9">
              <w:rPr>
                <w:i/>
                <w:iCs/>
                <w:sz w:val="18"/>
                <w:szCs w:val="18"/>
                <w:lang w:val="ro-RO" w:eastAsia="en-US"/>
              </w:rPr>
              <w:t>între produse diferite</w:t>
            </w:r>
            <w:r w:rsidRPr="003B14E9">
              <w:rPr>
                <w:sz w:val="18"/>
                <w:szCs w:val="18"/>
                <w:lang w:val="ro-RO" w:eastAsia="en-US"/>
              </w:rPr>
              <w:t xml:space="preserve"> - un acord contractual bilateral între o bancă şi o contraparte, care creează o obligaţie juridică unică (pe baza compensării tranzacţiilor acoperite) ce acoperă toate acordurile-cadru bilaterale şi toate tranzacţiile incluse în acest acord;</w:t>
            </w:r>
          </w:p>
          <w:p w14:paraId="3979F5C2"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contraparte centrală (CPC)</w:t>
            </w:r>
            <w:r w:rsidRPr="003B14E9">
              <w:rPr>
                <w:sz w:val="18"/>
                <w:szCs w:val="18"/>
                <w:lang w:val="ro-RO" w:eastAsia="en-US"/>
              </w:rPr>
              <w:t xml:space="preserve"> - o persoană juridică care se interpune între contrapărţile la contractele tranzacţionate pe una sau mai multe pieţe financiare, devenind astfel cumpărător pentru fiecare vânzător şi vânzător pentru fiecare cumpărător;</w:t>
            </w:r>
          </w:p>
          <w:p w14:paraId="5BE226C4" w14:textId="6FE434A2" w:rsidR="00231F49" w:rsidRPr="003B14E9" w:rsidRDefault="00231F49" w:rsidP="00231F49">
            <w:pPr>
              <w:ind w:firstLine="567"/>
              <w:jc w:val="both"/>
              <w:rPr>
                <w:sz w:val="18"/>
                <w:szCs w:val="18"/>
                <w:lang w:val="ro-RO" w:eastAsia="en-US"/>
              </w:rPr>
            </w:pPr>
            <w:r>
              <w:rPr>
                <w:i/>
                <w:iCs/>
                <w:sz w:val="18"/>
                <w:szCs w:val="18"/>
                <w:lang w:val="ro-RO" w:eastAsia="en-US"/>
              </w:rPr>
              <w:t>...</w:t>
            </w:r>
          </w:p>
          <w:p w14:paraId="0DF6229E"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contract în marjă</w:t>
            </w:r>
            <w:r w:rsidRPr="003B14E9">
              <w:rPr>
                <w:sz w:val="18"/>
                <w:szCs w:val="18"/>
                <w:lang w:val="ro-RO" w:eastAsia="en-US"/>
              </w:rPr>
              <w:t xml:space="preserve"> - un acord sau dispoziţiile unui acord, conform căruia o contraparte trebuie să furnizeze garanţii reale unei a doua contrapărţi, atunci când o expunere a celei de-a doua contrapărţi faţă de prima contraparte depășește un nivel specificat;</w:t>
            </w:r>
          </w:p>
          <w:p w14:paraId="369AD314"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contract în marjă într-un singur sens</w:t>
            </w:r>
            <w:r w:rsidRPr="003B14E9">
              <w:rPr>
                <w:sz w:val="18"/>
                <w:szCs w:val="18"/>
                <w:lang w:val="ro-RO" w:eastAsia="en-US"/>
              </w:rPr>
              <w:t xml:space="preserve"> - un contract în marjă conform căruia o banc</w:t>
            </w:r>
            <w:r w:rsidRPr="003B14E9">
              <w:rPr>
                <w:sz w:val="18"/>
                <w:szCs w:val="18"/>
                <w:lang w:val="ro-MD" w:eastAsia="en-US"/>
              </w:rPr>
              <w:t>ă</w:t>
            </w:r>
            <w:r w:rsidRPr="003B14E9">
              <w:rPr>
                <w:sz w:val="18"/>
                <w:szCs w:val="18"/>
                <w:lang w:val="ro-RO" w:eastAsia="en-US"/>
              </w:rPr>
              <w:t xml:space="preserve"> este obligată să furnizeze marje de variaţie unei contrapărţi, dar nu are dreptul să primească marja de variaţie de la contrapartea respectivă sau viceversa;</w:t>
            </w:r>
          </w:p>
          <w:p w14:paraId="6CA06B46"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contraparte</w:t>
            </w:r>
            <w:r w:rsidRPr="003B14E9">
              <w:rPr>
                <w:sz w:val="18"/>
                <w:szCs w:val="18"/>
                <w:lang w:val="ro-RO" w:eastAsia="en-US"/>
              </w:rPr>
              <w:t xml:space="preserve"> - orice persoană juridică sau fizică care participă la un acord de compensare şi are capacitatea de exerciţiu în acest sens;</w:t>
            </w:r>
          </w:p>
          <w:p w14:paraId="6140416E" w14:textId="7604C479" w:rsidR="00231F49" w:rsidRPr="003B14E9" w:rsidRDefault="00231F49" w:rsidP="00231F49">
            <w:pPr>
              <w:ind w:firstLine="567"/>
              <w:jc w:val="both"/>
              <w:rPr>
                <w:sz w:val="18"/>
                <w:szCs w:val="18"/>
                <w:lang w:val="ro-RO" w:eastAsia="en-US"/>
              </w:rPr>
            </w:pPr>
            <w:r>
              <w:rPr>
                <w:i/>
                <w:iCs/>
                <w:sz w:val="18"/>
                <w:szCs w:val="18"/>
                <w:lang w:val="ro-RO" w:eastAsia="en-US"/>
              </w:rPr>
              <w:t>...</w:t>
            </w:r>
          </w:p>
          <w:p w14:paraId="791B1377"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compensare</w:t>
            </w:r>
            <w:r w:rsidRPr="003B14E9">
              <w:rPr>
                <w:sz w:val="18"/>
                <w:szCs w:val="18"/>
                <w:lang w:val="ro-RO" w:eastAsia="en-US"/>
              </w:rPr>
              <w:t xml:space="preserve"> - procesul de stabilire a poziţiilor, inclusiv calculul obligaţiilor nete, şi de asigurare a disponibilităţii instrumentelor financiare, a fondurilor băneşti sau a ambelor pentru acoperirea expunerilor rezultate în urma acestor poziţii;</w:t>
            </w:r>
          </w:p>
          <w:p w14:paraId="1EC6BBC3"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lastRenderedPageBreak/>
              <w:t>compensare între produse diferite</w:t>
            </w:r>
            <w:r w:rsidRPr="003B14E9">
              <w:rPr>
                <w:sz w:val="18"/>
                <w:szCs w:val="18"/>
                <w:lang w:val="ro-RO" w:eastAsia="en-US"/>
              </w:rPr>
              <w:t xml:space="preserve"> - includerea, în același set de compensare, a unor tranzacţii privind categorii diferite de produse, în conformitate cu normele de compensare între produse diferite, stabilite în prezentul regulament;</w:t>
            </w:r>
          </w:p>
          <w:p w14:paraId="491DE14F"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delta</w:t>
            </w:r>
            <w:r w:rsidRPr="003B14E9">
              <w:rPr>
                <w:sz w:val="18"/>
                <w:szCs w:val="18"/>
                <w:lang w:val="ro-RO" w:eastAsia="en-US"/>
              </w:rPr>
              <w:t xml:space="preserve"> - variaţia aşteptată a preţului unui instrument financiar în raport cu o variaţie a preţului instrumentului suport al instrumentului financiar;</w:t>
            </w:r>
          </w:p>
          <w:p w14:paraId="1A5979C1"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expunere curentă</w:t>
            </w:r>
            <w:r w:rsidRPr="003B14E9">
              <w:rPr>
                <w:sz w:val="18"/>
                <w:szCs w:val="18"/>
                <w:lang w:val="ro-RO" w:eastAsia="en-US"/>
              </w:rPr>
              <w:t xml:space="preserve"> - valoarea mai mare dintre zero și valoarea de piaţă a unei tranzacţii sau a unui portofoliu de tranzacţii din cadrul unui set de compensare cu o contraparte, care s-ar pierde prin intrarea contrapărţii în stare de nerambursare, presupunând că valoarea tranzacţiilor respective nu poate fi recuperată, nici parţial, în caz de insolvenţă sau de lichidare;</w:t>
            </w:r>
          </w:p>
          <w:p w14:paraId="75A0A3B9"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expunere maximă</w:t>
            </w:r>
            <w:r w:rsidRPr="003B14E9">
              <w:rPr>
                <w:sz w:val="18"/>
                <w:szCs w:val="18"/>
                <w:lang w:val="ro-RO" w:eastAsia="en-US"/>
              </w:rPr>
              <w:t xml:space="preserve"> - o centilă superioară a distribuţiei expunerilor la o anumită dată viitoare, anterioară datei scadenţei tranzacţiei cu cea mai lungă durată din setul de compensare;</w:t>
            </w:r>
          </w:p>
          <w:p w14:paraId="2EB5DC68"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expunere așteptată (EE)</w:t>
            </w:r>
            <w:r w:rsidRPr="003B14E9">
              <w:rPr>
                <w:sz w:val="18"/>
                <w:szCs w:val="18"/>
                <w:lang w:val="ro-RO" w:eastAsia="en-US"/>
              </w:rPr>
              <w:t xml:space="preserve"> - media distribuţiei expunerilor, la o anumită dată viitoare, înainte de data scadenţei tranzacţiei cu cea mai lungă durată din setul de compensare;</w:t>
            </w:r>
          </w:p>
          <w:p w14:paraId="11D54059"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expunere așteptată efectivă la o dată specifică</w:t>
            </w:r>
            <w:r w:rsidRPr="003B14E9">
              <w:rPr>
                <w:sz w:val="18"/>
                <w:szCs w:val="18"/>
                <w:lang w:val="ro-RO" w:eastAsia="en-US"/>
              </w:rPr>
              <w:t xml:space="preserve"> (denumită în continuare „EE efectivă”) - valoarea maximă a expunerii așteptate din data respectivă sau din orice dată anterioară. Expunerea așteptată efectivă la o dată specifică se mai poate, de asemenea, defini ca valoarea mai mare dintre expunerea așteptată la data respectivă și expunerea așteptată efectivă la orice dată anterioară;</w:t>
            </w:r>
          </w:p>
          <w:p w14:paraId="3D126382"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expunerea pozitivă așteptată</w:t>
            </w:r>
            <w:r w:rsidRPr="003B14E9">
              <w:rPr>
                <w:sz w:val="18"/>
                <w:szCs w:val="18"/>
                <w:lang w:val="ro-RO" w:eastAsia="en-US"/>
              </w:rPr>
              <w:t xml:space="preserve"> (EPE) - media ponderată în timp a expunerilor așteptate, în care ponderile sunt proporţiile din întreaga perioadă care corespund fiecărei expuneri așteptate. </w:t>
            </w:r>
          </w:p>
          <w:p w14:paraId="05804F84" w14:textId="77777777" w:rsidR="00231F49" w:rsidRPr="003B14E9" w:rsidRDefault="00231F49" w:rsidP="00231F49">
            <w:pPr>
              <w:ind w:firstLine="567"/>
              <w:jc w:val="both"/>
              <w:rPr>
                <w:sz w:val="18"/>
                <w:szCs w:val="18"/>
                <w:lang w:val="ro-RO" w:eastAsia="en-US"/>
              </w:rPr>
            </w:pPr>
            <w:r w:rsidRPr="003B14E9">
              <w:rPr>
                <w:sz w:val="18"/>
                <w:szCs w:val="18"/>
                <w:lang w:val="ro-RO" w:eastAsia="en-US"/>
              </w:rPr>
              <w:lastRenderedPageBreak/>
              <w:t>La calculul cerinţei de fonduri proprii, băncile utilizează media pe primul an sau, dacă toate contractele din setul de compensare ajung la scadenţă în mai puţin de un an, pe durata în care contractul cu cea mai mare scadenţă din setul de compensare ajunge la scadenţă;</w:t>
            </w:r>
          </w:p>
          <w:p w14:paraId="267733E7"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expunerea pozitivă așteptată efectivă</w:t>
            </w:r>
            <w:r w:rsidRPr="003B14E9">
              <w:rPr>
                <w:sz w:val="18"/>
                <w:szCs w:val="18"/>
                <w:lang w:val="ro-RO" w:eastAsia="en-US"/>
              </w:rPr>
              <w:t xml:space="preserve"> (denumită în continuare „EPE efectivă”) - media ponderată a expunerilor așteptate efective pe primul an al unui set de compensare sau, dacă toate contractele din setul de compensare ajung la scadenţă în mai puţin de un an, pe durata contractului cu cea mai mare scadenţă din setul de compensare, în care ponderile sunt proporţiile din întreaga perioadă care corespund fiecărei expuneri așteptate;</w:t>
            </w:r>
          </w:p>
          <w:p w14:paraId="42D56942" w14:textId="06F8122B" w:rsidR="00231F49" w:rsidRPr="003B14E9" w:rsidRDefault="00231F49" w:rsidP="00231F49">
            <w:pPr>
              <w:ind w:firstLine="567"/>
              <w:jc w:val="both"/>
              <w:rPr>
                <w:sz w:val="18"/>
                <w:szCs w:val="18"/>
                <w:lang w:val="ro-RO" w:eastAsia="en-US"/>
              </w:rPr>
            </w:pPr>
            <w:r>
              <w:rPr>
                <w:i/>
                <w:iCs/>
                <w:sz w:val="18"/>
                <w:szCs w:val="18"/>
                <w:lang w:val="ro-RO" w:eastAsia="en-US"/>
              </w:rPr>
              <w:t>...</w:t>
            </w:r>
          </w:p>
          <w:p w14:paraId="1033F28E"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perioadă de risc de marjă</w:t>
            </w:r>
            <w:r w:rsidRPr="003B14E9">
              <w:rPr>
                <w:sz w:val="18"/>
                <w:szCs w:val="18"/>
                <w:lang w:val="ro-RO" w:eastAsia="en-US"/>
              </w:rPr>
              <w:t xml:space="preserve"> - perioada de la ultimul schimb de garanţii reale care acoperă un set de compensare de tranzacţii cu o contraparte aflată în stare de nerambursare până la momentul la care tranzacţiile sunt închise și riscul de piaţă rezultat face obiectul unei noi acoperiri;</w:t>
            </w:r>
          </w:p>
          <w:p w14:paraId="33ECE271"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prag de marjă</w:t>
            </w:r>
            <w:r w:rsidRPr="003B14E9">
              <w:rPr>
                <w:sz w:val="18"/>
                <w:szCs w:val="18"/>
                <w:lang w:val="ro-RO" w:eastAsia="en-US"/>
              </w:rPr>
              <w:t xml:space="preserve"> - cel mai mare cuantum pe care îl poate atinge o expunere în curs, înainte ca o parte să aibă dreptul să solicite garanţii reale;</w:t>
            </w:r>
          </w:p>
          <w:p w14:paraId="21B7CD03"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poziţie de risc</w:t>
            </w:r>
            <w:r w:rsidRPr="003B14E9">
              <w:rPr>
                <w:sz w:val="18"/>
                <w:szCs w:val="18"/>
                <w:lang w:val="ro-RO" w:eastAsia="en-US"/>
              </w:rPr>
              <w:t xml:space="preserve"> - o valoare de risc care este atribuită unei tranzacţii, pe baza unui algoritm predeterminat, în cadrul metodei standardizate prevăzute în capitolul V, secţiunea a 4-a;</w:t>
            </w:r>
          </w:p>
          <w:p w14:paraId="2340BC44" w14:textId="77777777" w:rsidR="00231F49" w:rsidRPr="003B14E9" w:rsidRDefault="00231F49" w:rsidP="00231F49">
            <w:pPr>
              <w:ind w:firstLine="567"/>
              <w:jc w:val="both"/>
              <w:rPr>
                <w:sz w:val="18"/>
                <w:szCs w:val="18"/>
                <w:lang w:val="ro-RO" w:eastAsia="en-US"/>
              </w:rPr>
            </w:pPr>
            <w:r w:rsidRPr="003B14E9">
              <w:rPr>
                <w:i/>
                <w:iCs/>
                <w:sz w:val="18"/>
                <w:szCs w:val="18"/>
                <w:lang w:val="ro-RO" w:eastAsia="en-US"/>
              </w:rPr>
              <w:t>risc de credit al contrapărții</w:t>
            </w:r>
            <w:r w:rsidRPr="003B14E9">
              <w:rPr>
                <w:sz w:val="18"/>
                <w:szCs w:val="18"/>
                <w:lang w:val="ro-RO" w:eastAsia="en-US"/>
              </w:rPr>
              <w:t xml:space="preserve"> (CCR) - riscul ca o contraparte la o tranzacție să intre în stare de nerambursare înainte de decontarea finală a fluxurilor de numerar aferente tranzacției;</w:t>
            </w:r>
          </w:p>
          <w:p w14:paraId="05833DD2"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riscul general de corelare defavorabilă</w:t>
            </w:r>
            <w:r w:rsidRPr="003B14E9">
              <w:rPr>
                <w:sz w:val="18"/>
                <w:szCs w:val="18"/>
                <w:lang w:val="ro-MD" w:eastAsia="en-US"/>
              </w:rPr>
              <w:t xml:space="preserve"> - riscul care apare atunci când probabilitatea intrării în stare de nerambursare a contrapărţilor este corelată pozitiv cu factorii de risc de piaţă generală;</w:t>
            </w:r>
          </w:p>
          <w:p w14:paraId="16E74ED9"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riscul specific de corelare defavorabilă</w:t>
            </w:r>
            <w:r w:rsidRPr="003B14E9">
              <w:rPr>
                <w:sz w:val="18"/>
                <w:szCs w:val="18"/>
                <w:lang w:val="ro-MD" w:eastAsia="en-US"/>
              </w:rPr>
              <w:t xml:space="preserve"> - apare atunci când expunerea viitoare faţă de o anumită contraparte este corelată pozitiv cu probabilitate de </w:t>
            </w:r>
            <w:r w:rsidRPr="003B14E9">
              <w:rPr>
                <w:sz w:val="18"/>
                <w:szCs w:val="18"/>
                <w:lang w:val="ro-MD" w:eastAsia="en-US"/>
              </w:rPr>
              <w:lastRenderedPageBreak/>
              <w:t>nerambursare a contrapărţii, ca urmare a tipului de tranzacţii efectuate cu contrapartea. Se consideră că banca este expusă unui risc specific de corelare defavorabilă, în cazul în care este de aşteptat ca expunerea viitoare faţă de o anumită contraparte să fie semnificativă atunci când probabilitatea de nerambursare de către contraparte este, de asemenea, ridicată;</w:t>
            </w:r>
          </w:p>
          <w:p w14:paraId="42C89F18"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set de acoperire a riscului</w:t>
            </w:r>
            <w:r w:rsidRPr="003B14E9">
              <w:rPr>
                <w:sz w:val="18"/>
                <w:szCs w:val="18"/>
                <w:lang w:val="ro-MD" w:eastAsia="en-US"/>
              </w:rPr>
              <w:t xml:space="preserve"> - un grup de tranzacţii din cadrul unui singur set de compensare în cazul căruia compensarea integrală sau parţială este autorizată pentru determinarea expunerii viitoare potenţiale în conformitate cu metodele prevăzute în capitolul III sau IV din prezentul regulament;</w:t>
            </w:r>
          </w:p>
          <w:p w14:paraId="258C2167"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set de compensare</w:t>
            </w:r>
            <w:r w:rsidRPr="003B14E9">
              <w:rPr>
                <w:sz w:val="18"/>
                <w:szCs w:val="18"/>
                <w:lang w:val="ro-MD" w:eastAsia="en-US"/>
              </w:rPr>
              <w:t xml:space="preserve"> - un grup de tranzacţii între o bancă şi o singură contraparte, care face obiectul unui acord de compensare contractual executoriu din punct de vedere juridic şi recunoscut în conformitate cu capitolul VI din prezentul regulament şi cu capitolele III şi VI din Regulamentul cu privire la tehnicile de diminuare a riscului de credit utilizate de bănci, aprobat prin Hotărârea Comitetului executiv (HCE) nr.112/2018. Orice tranzacţie care nu face obiectul unui acord de compensare contractual executoriu din punct de vedere juridic şi recunoscut în conformitate cu capitolul VI din Regulamentul nr.112/2018 va fi tratată ca fiind ea însăşi un set de compensare în sensul prezentului regulament;</w:t>
            </w:r>
          </w:p>
          <w:p w14:paraId="0BEA436A"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segment de plată</w:t>
            </w:r>
            <w:r w:rsidRPr="003B14E9">
              <w:rPr>
                <w:sz w:val="18"/>
                <w:szCs w:val="18"/>
                <w:lang w:val="ro-MD" w:eastAsia="en-US"/>
              </w:rPr>
              <w:t xml:space="preserve"> - plata convenită la o tranzacţie cu un instrument financiar derivat extrabursier, care are un profil de risc liniar şi prevede schimbul unui instrument financiar contra unei plăţi. În cazul tranzacţiilor care prevăd schimbul unei plăţi contra altei plăţi, aceste două segmente de plată constau în plăţi brute convenite prin contract, incluzând cuantumul noţională al tranzacţiei;</w:t>
            </w:r>
          </w:p>
          <w:p w14:paraId="3528E890" w14:textId="57E37775" w:rsidR="00231F49" w:rsidRPr="003B14E9" w:rsidRDefault="00231F49" w:rsidP="00231F49">
            <w:pPr>
              <w:ind w:firstLine="567"/>
              <w:jc w:val="both"/>
              <w:rPr>
                <w:sz w:val="18"/>
                <w:szCs w:val="18"/>
                <w:lang w:val="ro-MD" w:eastAsia="en-US"/>
              </w:rPr>
            </w:pPr>
            <w:r>
              <w:rPr>
                <w:i/>
                <w:iCs/>
                <w:sz w:val="18"/>
                <w:szCs w:val="18"/>
                <w:lang w:val="ro-MD" w:eastAsia="en-US"/>
              </w:rPr>
              <w:t>...</w:t>
            </w:r>
          </w:p>
          <w:p w14:paraId="7D6EB8D8"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lastRenderedPageBreak/>
              <w:t>suma independentă netă a garanţiilor reale</w:t>
            </w:r>
            <w:r w:rsidRPr="003B14E9">
              <w:rPr>
                <w:sz w:val="18"/>
                <w:szCs w:val="18"/>
                <w:lang w:val="ro-MD" w:eastAsia="en-US"/>
              </w:rPr>
              <w:t xml:space="preserve"> (NICA) înseamnă suma valorilor ajustate în funcţie de volatilitate ale garanţiilor reale nete primite sau furnizate, după caz, în cadrul setului de compensare, altele decât marja de variaţie;</w:t>
            </w:r>
          </w:p>
          <w:p w14:paraId="1BB64330"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tranzacţii cu termen lung de decontare</w:t>
            </w:r>
            <w:r w:rsidRPr="003B14E9">
              <w:rPr>
                <w:sz w:val="18"/>
                <w:szCs w:val="18"/>
                <w:lang w:val="ro-MD" w:eastAsia="en-US"/>
              </w:rPr>
              <w:t xml:space="preserve"> - tranzacţii în care o contraparte se angajează să livreze un titlu, o marfă sau o sumă în valută contra mijloace băneşti, alte instrumente financiare sau mărfuri, sau invers, la o dată de decontare sau de livrare, specificată prin contract, care depăşeşte durata standard pe piaţă pentru acest tip particular de tranzacţie sau 5 zile lucrătoare de la data la care banca a intrat în tranzacţie, dacă această a doua durată este mai scurtă;</w:t>
            </w:r>
          </w:p>
          <w:p w14:paraId="3A3C40B6"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tranzacţii de creditare în marjă</w:t>
            </w:r>
            <w:r w:rsidRPr="003B14E9">
              <w:rPr>
                <w:sz w:val="18"/>
                <w:szCs w:val="18"/>
                <w:lang w:val="ro-MD" w:eastAsia="en-US"/>
              </w:rPr>
              <w:t xml:space="preserve"> - tranzacţii în care banca acordă credit în legătură cu achiziţionarea, vânzarea, deţinerea sau tranzacţionarea de titluri. Tranzacţiile de creditare în marjă nu includ alte împrumuturi care sunt acoperite cu garanţii reale sub formă de titluri;</w:t>
            </w:r>
          </w:p>
          <w:p w14:paraId="351B4426" w14:textId="6ACA8635" w:rsidR="00231F49" w:rsidRPr="003B14E9" w:rsidRDefault="00231F49" w:rsidP="00231F49">
            <w:pPr>
              <w:ind w:firstLine="567"/>
              <w:jc w:val="both"/>
              <w:rPr>
                <w:sz w:val="18"/>
                <w:szCs w:val="18"/>
                <w:lang w:val="ro-MD" w:eastAsia="en-US"/>
              </w:rPr>
            </w:pPr>
            <w:r>
              <w:rPr>
                <w:i/>
                <w:iCs/>
                <w:sz w:val="18"/>
                <w:szCs w:val="18"/>
                <w:lang w:val="ro-MD" w:eastAsia="en-US"/>
              </w:rPr>
              <w:t>...</w:t>
            </w:r>
          </w:p>
          <w:p w14:paraId="7212365A" w14:textId="77777777" w:rsidR="00231F49" w:rsidRPr="003B14E9" w:rsidRDefault="00231F49" w:rsidP="00231F49">
            <w:pPr>
              <w:ind w:firstLine="567"/>
              <w:jc w:val="both"/>
              <w:rPr>
                <w:sz w:val="18"/>
                <w:szCs w:val="18"/>
                <w:lang w:val="ro-MD" w:eastAsia="en-US"/>
              </w:rPr>
            </w:pPr>
            <w:r w:rsidRPr="003B14E9">
              <w:rPr>
                <w:i/>
                <w:iCs/>
                <w:sz w:val="18"/>
                <w:szCs w:val="18"/>
                <w:lang w:val="ro-MD" w:eastAsia="en-US"/>
              </w:rPr>
              <w:t>valoarea de piaţă curentă (CMV)</w:t>
            </w:r>
            <w:r w:rsidRPr="003B14E9">
              <w:rPr>
                <w:sz w:val="18"/>
                <w:szCs w:val="18"/>
                <w:lang w:val="ro-MD" w:eastAsia="en-US"/>
              </w:rPr>
              <w:t xml:space="preserve"> - înseamnă valoarea netă de piaţă a tuturor tranzacţiilor din cadrul unui set de compensare înainte de deducerea oricărei garanţii reale deţinute sau furnizate, valorile de piaţă pozitive fiind compensate cu cele negative la calcularea CMV.</w:t>
            </w:r>
          </w:p>
          <w:p w14:paraId="56F80BA4" w14:textId="77777777" w:rsidR="00231F49" w:rsidRPr="003B14E9" w:rsidRDefault="00231F49" w:rsidP="00231F49">
            <w:pPr>
              <w:tabs>
                <w:tab w:val="left" w:pos="540"/>
              </w:tabs>
              <w:ind w:left="-43"/>
              <w:jc w:val="both"/>
              <w:rPr>
                <w:color w:val="000000"/>
                <w:sz w:val="18"/>
                <w:szCs w:val="18"/>
                <w:lang w:val="ro-MD"/>
              </w:rPr>
            </w:pPr>
          </w:p>
        </w:tc>
        <w:tc>
          <w:tcPr>
            <w:tcW w:w="1160" w:type="dxa"/>
          </w:tcPr>
          <w:p w14:paraId="04E380CD" w14:textId="7D74495A" w:rsidR="00231F49" w:rsidRPr="003B14E9" w:rsidRDefault="00231F49" w:rsidP="00231F49">
            <w:pPr>
              <w:jc w:val="both"/>
              <w:rPr>
                <w:sz w:val="18"/>
                <w:szCs w:val="18"/>
                <w:lang w:val="ro-MD"/>
              </w:rPr>
            </w:pPr>
            <w:r w:rsidRPr="003B14E9">
              <w:rPr>
                <w:sz w:val="18"/>
                <w:szCs w:val="18"/>
                <w:lang w:val="ro-MD"/>
              </w:rPr>
              <w:lastRenderedPageBreak/>
              <w:t>Parțial compatibil</w:t>
            </w:r>
          </w:p>
        </w:tc>
        <w:tc>
          <w:tcPr>
            <w:tcW w:w="3041" w:type="dxa"/>
          </w:tcPr>
          <w:p w14:paraId="712F02F2" w14:textId="77777777" w:rsidR="00231F49" w:rsidRPr="003B14E9" w:rsidRDefault="00231F49" w:rsidP="00231F49">
            <w:pPr>
              <w:rPr>
                <w:sz w:val="18"/>
                <w:szCs w:val="18"/>
                <w:lang w:val="ro-RO"/>
              </w:rPr>
            </w:pPr>
            <w:r w:rsidRPr="003B14E9">
              <w:rPr>
                <w:sz w:val="18"/>
                <w:szCs w:val="18"/>
                <w:lang w:val="ro-MD"/>
              </w:rPr>
              <w:t xml:space="preserve">Termenii care nu au fost </w:t>
            </w:r>
            <w:r w:rsidRPr="003B14E9">
              <w:rPr>
                <w:sz w:val="18"/>
                <w:szCs w:val="18"/>
                <w:lang w:val="ro-RO"/>
              </w:rPr>
              <w:t>transpuși, se vor transpune la o etapă ulterioară – în funcție de necesitatea termenilor respectivi.</w:t>
            </w:r>
          </w:p>
          <w:p w14:paraId="26D0F35E" w14:textId="77777777" w:rsidR="00231F49" w:rsidRPr="003B14E9" w:rsidRDefault="00231F49" w:rsidP="00231F49">
            <w:pPr>
              <w:rPr>
                <w:sz w:val="18"/>
                <w:szCs w:val="18"/>
                <w:highlight w:val="red"/>
                <w:lang w:val="ro-MD"/>
              </w:rPr>
            </w:pPr>
          </w:p>
        </w:tc>
        <w:tc>
          <w:tcPr>
            <w:tcW w:w="1055" w:type="dxa"/>
            <w:tcBorders>
              <w:top w:val="single" w:sz="4" w:space="0" w:color="auto"/>
              <w:bottom w:val="single" w:sz="4" w:space="0" w:color="auto"/>
            </w:tcBorders>
          </w:tcPr>
          <w:p w14:paraId="39152E26" w14:textId="77777777" w:rsidR="00231F49" w:rsidRPr="003B14E9" w:rsidRDefault="00231F49" w:rsidP="00231F49">
            <w:pPr>
              <w:jc w:val="both"/>
              <w:rPr>
                <w:sz w:val="18"/>
                <w:szCs w:val="18"/>
                <w:lang w:val="ro-MD"/>
              </w:rPr>
            </w:pPr>
          </w:p>
        </w:tc>
        <w:tc>
          <w:tcPr>
            <w:tcW w:w="1330" w:type="dxa"/>
            <w:tcBorders>
              <w:bottom w:val="single" w:sz="4" w:space="0" w:color="auto"/>
            </w:tcBorders>
          </w:tcPr>
          <w:p w14:paraId="7C9828D7" w14:textId="77777777" w:rsidR="00231F49" w:rsidRPr="003B14E9" w:rsidRDefault="00231F49" w:rsidP="00231F49">
            <w:pPr>
              <w:jc w:val="both"/>
              <w:rPr>
                <w:sz w:val="18"/>
                <w:szCs w:val="18"/>
                <w:lang w:val="ro-MD"/>
              </w:rPr>
            </w:pPr>
          </w:p>
        </w:tc>
      </w:tr>
      <w:tr w:rsidR="009A7894" w:rsidRPr="003B14E9" w14:paraId="3B895FFD" w14:textId="77777777" w:rsidTr="00604EF1">
        <w:trPr>
          <w:trHeight w:val="918"/>
        </w:trPr>
        <w:tc>
          <w:tcPr>
            <w:tcW w:w="4473" w:type="dxa"/>
          </w:tcPr>
          <w:p w14:paraId="3C380551" w14:textId="3390E47E" w:rsidR="009A7894" w:rsidRPr="003B14E9" w:rsidRDefault="009A7894" w:rsidP="009A7894">
            <w:pPr>
              <w:pStyle w:val="CM4"/>
              <w:spacing w:after="120"/>
              <w:jc w:val="both"/>
              <w:rPr>
                <w:rFonts w:ascii="Times New Roman" w:hAnsi="Times New Roman"/>
                <w:b/>
                <w:sz w:val="18"/>
                <w:szCs w:val="18"/>
                <w:lang w:val="ro-MD"/>
              </w:rPr>
            </w:pPr>
            <w:r w:rsidRPr="003B14E9">
              <w:rPr>
                <w:rFonts w:ascii="Times New Roman" w:hAnsi="Times New Roman"/>
                <w:sz w:val="18"/>
                <w:szCs w:val="18"/>
                <w:lang w:val="ro-MD"/>
              </w:rPr>
              <w:lastRenderedPageBreak/>
              <w:t>(2) O instituție poate să determine valoarea expunerii tranzacțiilor de răscumpărare, a operațiunilor de dare sau luare de titluri sau mărfuri cu împrumut, a tranzacțiilor cu termen lung de decontare și a tranzacțiilor de creditare în marjă în conformitate cu prezentul capitol, în loc să utilizeze dispozițiile capitolului 4.</w:t>
            </w:r>
          </w:p>
        </w:tc>
        <w:tc>
          <w:tcPr>
            <w:tcW w:w="4425" w:type="dxa"/>
            <w:shd w:val="clear" w:color="auto" w:fill="auto"/>
          </w:tcPr>
          <w:p w14:paraId="4C30C0A1" w14:textId="589A82E0" w:rsidR="009A7894" w:rsidRPr="003B14E9" w:rsidRDefault="009A7894" w:rsidP="009A7894">
            <w:pPr>
              <w:tabs>
                <w:tab w:val="left" w:pos="540"/>
              </w:tabs>
              <w:ind w:left="-43"/>
              <w:jc w:val="both"/>
              <w:rPr>
                <w:color w:val="000000"/>
                <w:sz w:val="18"/>
                <w:szCs w:val="18"/>
                <w:lang w:val="ro-MD"/>
              </w:rPr>
            </w:pPr>
            <w:r w:rsidRPr="003B14E9">
              <w:rPr>
                <w:b/>
                <w:bCs/>
                <w:sz w:val="18"/>
                <w:szCs w:val="18"/>
                <w:lang w:val="ro-MD"/>
              </w:rPr>
              <w:t>4.</w:t>
            </w:r>
            <w:r w:rsidRPr="003B14E9">
              <w:rPr>
                <w:sz w:val="18"/>
                <w:szCs w:val="18"/>
                <w:lang w:val="ro-MD"/>
              </w:rPr>
              <w:t>Banca este în drept să determine valoarea expunerii tranzacţiilor de răscumpărare, a operaţiunilor de dare sau luare de titluri sau mărfuri cu împrumut, a tranzacţiilor cu termen lung de decontare şi a tranzacţiilor de creditare în marjă în conformitate cu prezentul regulament, fără utilizarea dispoziţiilor Regulamentului nr.112/2018 cu privire la tehnicile de diminuare a riscului de credit utilizate de bănci</w:t>
            </w:r>
            <w:r w:rsidRPr="003B14E9">
              <w:rPr>
                <w:b/>
                <w:bCs/>
                <w:sz w:val="18"/>
                <w:szCs w:val="18"/>
                <w:lang w:val="ro-MD"/>
              </w:rPr>
              <w:t>.</w:t>
            </w:r>
          </w:p>
        </w:tc>
        <w:tc>
          <w:tcPr>
            <w:tcW w:w="1160" w:type="dxa"/>
          </w:tcPr>
          <w:p w14:paraId="055AAFEB" w14:textId="3A9BA1B1" w:rsidR="009A7894" w:rsidRPr="003B14E9" w:rsidRDefault="009A7894" w:rsidP="009A7894">
            <w:pPr>
              <w:jc w:val="both"/>
              <w:rPr>
                <w:sz w:val="18"/>
                <w:szCs w:val="18"/>
                <w:lang w:val="ro-MD"/>
              </w:rPr>
            </w:pPr>
            <w:r w:rsidRPr="003B14E9">
              <w:rPr>
                <w:sz w:val="18"/>
                <w:szCs w:val="18"/>
                <w:lang w:val="ro-MD"/>
              </w:rPr>
              <w:t>Compatibil</w:t>
            </w:r>
          </w:p>
        </w:tc>
        <w:tc>
          <w:tcPr>
            <w:tcW w:w="3041" w:type="dxa"/>
          </w:tcPr>
          <w:p w14:paraId="031B6C2B"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4E115E06"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0B50F310" w14:textId="77777777" w:rsidR="009A7894" w:rsidRPr="003B14E9" w:rsidRDefault="009A7894" w:rsidP="009A7894">
            <w:pPr>
              <w:jc w:val="both"/>
              <w:rPr>
                <w:sz w:val="18"/>
                <w:szCs w:val="18"/>
                <w:lang w:val="ro-MD"/>
              </w:rPr>
            </w:pPr>
          </w:p>
        </w:tc>
      </w:tr>
      <w:tr w:rsidR="009A7894" w:rsidRPr="003B14E9" w14:paraId="79BF277E" w14:textId="77777777" w:rsidTr="00604EF1">
        <w:trPr>
          <w:trHeight w:val="918"/>
        </w:trPr>
        <w:tc>
          <w:tcPr>
            <w:tcW w:w="4473" w:type="dxa"/>
          </w:tcPr>
          <w:p w14:paraId="44307CE8" w14:textId="77777777" w:rsidR="009A7894" w:rsidRPr="003B14E9" w:rsidRDefault="009A7894" w:rsidP="009A7894">
            <w:pPr>
              <w:pStyle w:val="title-article-norm"/>
              <w:rPr>
                <w:i w:val="0"/>
                <w:sz w:val="18"/>
                <w:szCs w:val="18"/>
                <w:lang w:val="ro-MD"/>
              </w:rPr>
            </w:pPr>
            <w:r w:rsidRPr="003B14E9">
              <w:rPr>
                <w:i w:val="0"/>
                <w:sz w:val="18"/>
                <w:szCs w:val="18"/>
                <w:lang w:val="ro-MD"/>
              </w:rPr>
              <w:t>Secțiunea  2</w:t>
            </w:r>
          </w:p>
          <w:p w14:paraId="1334AA93" w14:textId="77777777" w:rsidR="009A7894" w:rsidRPr="003B14E9" w:rsidRDefault="009A7894" w:rsidP="009A7894">
            <w:pPr>
              <w:pStyle w:val="title-article-norm"/>
              <w:rPr>
                <w:b/>
                <w:i w:val="0"/>
                <w:sz w:val="18"/>
                <w:szCs w:val="18"/>
                <w:lang w:val="ro-MD"/>
              </w:rPr>
            </w:pPr>
            <w:r w:rsidRPr="003B14E9">
              <w:rPr>
                <w:b/>
                <w:i w:val="0"/>
                <w:sz w:val="18"/>
                <w:szCs w:val="18"/>
                <w:lang w:val="ro-MD"/>
              </w:rPr>
              <w:t>Metode  de  calcul al  valorii  expunerii</w:t>
            </w:r>
          </w:p>
          <w:p w14:paraId="66807828" w14:textId="77777777" w:rsidR="009A7894" w:rsidRPr="003B14E9" w:rsidRDefault="009A7894" w:rsidP="009A7894">
            <w:pPr>
              <w:pStyle w:val="title-article-norm"/>
              <w:jc w:val="both"/>
              <w:rPr>
                <w:i w:val="0"/>
                <w:sz w:val="18"/>
                <w:szCs w:val="18"/>
                <w:lang w:val="ro-MD"/>
              </w:rPr>
            </w:pPr>
            <w:r w:rsidRPr="003B14E9">
              <w:rPr>
                <w:sz w:val="18"/>
                <w:szCs w:val="18"/>
                <w:lang w:val="ro-MD"/>
              </w:rPr>
              <w:t>Articolul 273</w:t>
            </w:r>
            <w:r w:rsidRPr="003B14E9">
              <w:rPr>
                <w:i w:val="0"/>
                <w:sz w:val="18"/>
                <w:szCs w:val="18"/>
                <w:lang w:val="ro-MD"/>
              </w:rPr>
              <w:t xml:space="preserve"> </w:t>
            </w:r>
            <w:r w:rsidRPr="003B14E9">
              <w:rPr>
                <w:b/>
                <w:i w:val="0"/>
                <w:sz w:val="18"/>
                <w:szCs w:val="18"/>
                <w:lang w:val="ro-MD"/>
              </w:rPr>
              <w:t>Metode de calcul al valorii expunerii</w:t>
            </w:r>
            <w:r w:rsidRPr="003B14E9">
              <w:rPr>
                <w:i w:val="0"/>
                <w:sz w:val="18"/>
                <w:szCs w:val="18"/>
                <w:lang w:val="ro-MD"/>
              </w:rPr>
              <w:t xml:space="preserve"> </w:t>
            </w:r>
          </w:p>
          <w:p w14:paraId="698E7D8E" w14:textId="77777777" w:rsidR="009A7894" w:rsidRPr="003B14E9" w:rsidRDefault="009A7894" w:rsidP="009A7894">
            <w:pPr>
              <w:pStyle w:val="title-article-norm"/>
              <w:numPr>
                <w:ilvl w:val="0"/>
                <w:numId w:val="9"/>
              </w:numPr>
              <w:tabs>
                <w:tab w:val="left" w:pos="334"/>
              </w:tabs>
              <w:ind w:left="0" w:firstLine="0"/>
              <w:jc w:val="both"/>
              <w:rPr>
                <w:i w:val="0"/>
                <w:sz w:val="18"/>
                <w:szCs w:val="18"/>
                <w:lang w:val="ro-MD"/>
              </w:rPr>
            </w:pPr>
            <w:r w:rsidRPr="003B14E9">
              <w:rPr>
                <w:i w:val="0"/>
                <w:sz w:val="18"/>
                <w:szCs w:val="18"/>
                <w:lang w:val="ro-MD"/>
              </w:rPr>
              <w:t xml:space="preserve">Instituțiile calculează valoarea expunerii pentru contractele menționate în anexa II pe baza uneia dintre </w:t>
            </w:r>
            <w:r w:rsidRPr="003B14E9">
              <w:rPr>
                <w:i w:val="0"/>
                <w:sz w:val="18"/>
                <w:szCs w:val="18"/>
                <w:lang w:val="ro-MD"/>
              </w:rPr>
              <w:lastRenderedPageBreak/>
              <w:t xml:space="preserve">metodele prevăzute în secțiunile 3-6, în conformitate cu prezentul articol. </w:t>
            </w:r>
          </w:p>
          <w:p w14:paraId="1A73A76D" w14:textId="77777777" w:rsidR="009A7894" w:rsidRPr="003B14E9" w:rsidRDefault="009A7894" w:rsidP="009A7894">
            <w:pPr>
              <w:pStyle w:val="title-article-norm"/>
              <w:jc w:val="both"/>
              <w:rPr>
                <w:i w:val="0"/>
                <w:sz w:val="18"/>
                <w:szCs w:val="18"/>
              </w:rPr>
            </w:pPr>
            <w:r w:rsidRPr="003B14E9">
              <w:rPr>
                <w:i w:val="0"/>
                <w:sz w:val="18"/>
                <w:szCs w:val="18"/>
              </w:rPr>
              <w:t>O instituţie care nu îndeplinește condiţiile prevăzute la articolul 273a alineatul (1) nu utilizează metoda prevăzută în secţiunea 4. O instituţie care nu îndeplinește condiţiile prevăzute la articolul 273a alineatul (2) nu utilizează metoda prevăzută în secţiunea 5.</w:t>
            </w:r>
          </w:p>
          <w:p w14:paraId="61EAB738"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Instituțiile pot utiliza combinat metodele prevăzute în secțiunile 3-6, în mod permanent, în cadrul unui grup. O instituție individuală nu utilizează combinatmetodele prevăzute în secțiunile 3-6 în mod permanent. </w:t>
            </w:r>
          </w:p>
          <w:p w14:paraId="2FD1F848" w14:textId="77777777" w:rsidR="009A7894" w:rsidRPr="003B14E9" w:rsidRDefault="009A7894" w:rsidP="009A7894">
            <w:pPr>
              <w:pStyle w:val="CM4"/>
              <w:spacing w:after="120"/>
              <w:jc w:val="both"/>
              <w:rPr>
                <w:rFonts w:ascii="Times New Roman" w:hAnsi="Times New Roman"/>
                <w:sz w:val="18"/>
                <w:szCs w:val="18"/>
                <w:lang w:val="ro-MD"/>
              </w:rPr>
            </w:pPr>
          </w:p>
        </w:tc>
        <w:tc>
          <w:tcPr>
            <w:tcW w:w="4425" w:type="dxa"/>
            <w:shd w:val="clear" w:color="auto" w:fill="auto"/>
          </w:tcPr>
          <w:p w14:paraId="0483C925" w14:textId="77777777" w:rsidR="009A7894" w:rsidRPr="003B14E9" w:rsidRDefault="009A7894" w:rsidP="009A7894">
            <w:pPr>
              <w:pStyle w:val="CM4"/>
              <w:tabs>
                <w:tab w:val="left" w:pos="150"/>
              </w:tabs>
              <w:ind w:left="-43"/>
              <w:jc w:val="center"/>
              <w:rPr>
                <w:rFonts w:ascii="Times New Roman" w:hAnsi="Times New Roman"/>
                <w:b/>
                <w:iCs/>
                <w:sz w:val="18"/>
                <w:szCs w:val="18"/>
                <w:lang w:val="ro-MD"/>
              </w:rPr>
            </w:pPr>
            <w:r w:rsidRPr="003B14E9">
              <w:rPr>
                <w:rFonts w:ascii="Times New Roman" w:hAnsi="Times New Roman"/>
                <w:b/>
                <w:iCs/>
                <w:sz w:val="18"/>
                <w:szCs w:val="18"/>
                <w:lang w:val="ro-MD"/>
              </w:rPr>
              <w:lastRenderedPageBreak/>
              <w:t xml:space="preserve">Capitolul II. Metode de calcul al valorii expunerii </w:t>
            </w:r>
          </w:p>
          <w:p w14:paraId="4EC85633" w14:textId="77777777" w:rsidR="009A7894" w:rsidRPr="003B14E9" w:rsidRDefault="009A7894" w:rsidP="009A7894">
            <w:pPr>
              <w:jc w:val="center"/>
              <w:rPr>
                <w:i/>
                <w:iCs/>
                <w:sz w:val="18"/>
                <w:szCs w:val="18"/>
                <w:lang w:val="ro-MD" w:eastAsia="en-US"/>
              </w:rPr>
            </w:pPr>
            <w:r w:rsidRPr="003B14E9">
              <w:rPr>
                <w:i/>
                <w:iCs/>
                <w:sz w:val="18"/>
                <w:szCs w:val="18"/>
                <w:lang w:val="ro-MD" w:eastAsia="en-US"/>
              </w:rPr>
              <w:t>Secțiunea a 2-a</w:t>
            </w:r>
          </w:p>
          <w:p w14:paraId="769FC07C" w14:textId="77777777" w:rsidR="009A7894" w:rsidRPr="003B14E9" w:rsidRDefault="009A7894" w:rsidP="009A7894">
            <w:pPr>
              <w:jc w:val="center"/>
              <w:rPr>
                <w:b/>
                <w:bCs/>
                <w:sz w:val="18"/>
                <w:szCs w:val="18"/>
                <w:lang w:val="ro-MD" w:eastAsia="en-US"/>
              </w:rPr>
            </w:pPr>
            <w:r w:rsidRPr="003B14E9">
              <w:rPr>
                <w:b/>
                <w:bCs/>
                <w:sz w:val="18"/>
                <w:szCs w:val="18"/>
                <w:lang w:val="ro-MD" w:eastAsia="en-US"/>
              </w:rPr>
              <w:t>Metode de calcul al valorii expunerii</w:t>
            </w:r>
          </w:p>
          <w:p w14:paraId="69A84CB5"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t>7.</w:t>
            </w:r>
            <w:r w:rsidRPr="003B14E9">
              <w:rPr>
                <w:rFonts w:ascii="Times New Roman" w:hAnsi="Times New Roman" w:cs="Times New Roman"/>
                <w:sz w:val="18"/>
                <w:szCs w:val="18"/>
                <w:lang w:val="ro-MD"/>
              </w:rPr>
              <w:t xml:space="preserve"> O bancă care nu îndeplinește condiţiile prevăzute la punctul 21 nu utilizează metoda prevăzută în Capitolul IV din prezentul regulament. O bancă care nu îndeplinește condiţiile prevăzute la punctul 22 nu utilizează metoda prevăzută în capitolul V.</w:t>
            </w:r>
          </w:p>
          <w:p w14:paraId="789398BD"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lastRenderedPageBreak/>
              <w:t>8.</w:t>
            </w:r>
            <w:r w:rsidRPr="003B14E9">
              <w:rPr>
                <w:rFonts w:ascii="Times New Roman" w:hAnsi="Times New Roman" w:cs="Times New Roman"/>
                <w:sz w:val="18"/>
                <w:szCs w:val="18"/>
                <w:lang w:val="ro-MD"/>
              </w:rPr>
              <w:t xml:space="preserve"> Băncile pot utiliza combinat metodele prevăzute în capitolele III-V, în mod permanent, în cadrul unui grup astfel cum este definit în Legea nr.250/2017 cu privire la supravegherea suplimentară a băncilor, asigurătorilor/reasigurătorilor şi a societăţilor de investiţii care aparţin unui conglomerat financiar.</w:t>
            </w:r>
          </w:p>
          <w:p w14:paraId="51577475"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p>
          <w:p w14:paraId="231B98A1"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p>
          <w:p w14:paraId="74BB1015"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p>
          <w:p w14:paraId="4764ED4A"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p>
          <w:p w14:paraId="05F00CDF"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p>
          <w:p w14:paraId="652A8A72"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p>
          <w:p w14:paraId="252EA9F1" w14:textId="77777777" w:rsidR="009A7894" w:rsidRPr="003B14E9" w:rsidRDefault="009A7894" w:rsidP="009A7894">
            <w:pPr>
              <w:tabs>
                <w:tab w:val="left" w:pos="540"/>
              </w:tabs>
              <w:ind w:left="-43"/>
              <w:jc w:val="both"/>
              <w:rPr>
                <w:b/>
                <w:bCs/>
                <w:sz w:val="18"/>
                <w:szCs w:val="18"/>
                <w:lang w:val="ro-MD"/>
              </w:rPr>
            </w:pPr>
          </w:p>
        </w:tc>
        <w:tc>
          <w:tcPr>
            <w:tcW w:w="1160" w:type="dxa"/>
          </w:tcPr>
          <w:p w14:paraId="0A3A367B" w14:textId="2C0E238A" w:rsidR="009A7894" w:rsidRPr="003B14E9" w:rsidRDefault="009A7894" w:rsidP="009A7894">
            <w:pPr>
              <w:jc w:val="both"/>
              <w:rPr>
                <w:sz w:val="18"/>
                <w:szCs w:val="18"/>
                <w:lang w:val="ro-MD"/>
              </w:rPr>
            </w:pPr>
            <w:r w:rsidRPr="003B14E9">
              <w:rPr>
                <w:sz w:val="18"/>
                <w:szCs w:val="18"/>
                <w:lang w:val="ro-MD"/>
              </w:rPr>
              <w:lastRenderedPageBreak/>
              <w:t xml:space="preserve">Compatibil </w:t>
            </w:r>
          </w:p>
        </w:tc>
        <w:tc>
          <w:tcPr>
            <w:tcW w:w="3041" w:type="dxa"/>
          </w:tcPr>
          <w:p w14:paraId="7648BB70"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5F4B9EB6"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7314A307" w14:textId="77777777" w:rsidR="009A7894" w:rsidRPr="003B14E9" w:rsidRDefault="009A7894" w:rsidP="009A7894">
            <w:pPr>
              <w:jc w:val="both"/>
              <w:rPr>
                <w:sz w:val="18"/>
                <w:szCs w:val="18"/>
                <w:lang w:val="ro-MD"/>
              </w:rPr>
            </w:pPr>
          </w:p>
        </w:tc>
      </w:tr>
      <w:tr w:rsidR="009A7894" w:rsidRPr="003B14E9" w14:paraId="1A7EE6F2" w14:textId="77777777" w:rsidTr="00604EF1">
        <w:trPr>
          <w:trHeight w:val="918"/>
        </w:trPr>
        <w:tc>
          <w:tcPr>
            <w:tcW w:w="4473" w:type="dxa"/>
          </w:tcPr>
          <w:p w14:paraId="5527C919"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(2) Dacă obține aprobarea autorităților competente în conformitate cu articolul 283 alineatele (1) și (2), o instituție poate determina valoarea expunerii pentru următoarele elemente, utilizând metoda modelului intern prevăzută în secțiunea 6: </w:t>
            </w:r>
          </w:p>
          <w:p w14:paraId="725AA14A"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(a) contractele enumerate în anexa II; </w:t>
            </w:r>
          </w:p>
          <w:p w14:paraId="19EA9297"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(b) tranzacțiile de răscumpărare; </w:t>
            </w:r>
          </w:p>
          <w:p w14:paraId="57066453"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(c) operațiunile de dare sau luare de titluri sau mărfuri cu împrumut; </w:t>
            </w:r>
          </w:p>
          <w:p w14:paraId="2B43AA35"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(d) tranzacțiile de creditare în marjă. </w:t>
            </w:r>
          </w:p>
          <w:p w14:paraId="320CF3BA" w14:textId="5DE575DD" w:rsidR="009A7894" w:rsidRPr="003B14E9" w:rsidRDefault="009A7894" w:rsidP="009A7894">
            <w:pPr>
              <w:pStyle w:val="CM4"/>
              <w:spacing w:after="120"/>
              <w:jc w:val="both"/>
              <w:rPr>
                <w:rFonts w:ascii="Times New Roman" w:hAnsi="Times New Roman"/>
                <w:sz w:val="18"/>
                <w:szCs w:val="18"/>
                <w:lang w:val="ro-MD"/>
              </w:rPr>
            </w:pPr>
            <w:r w:rsidRPr="003B14E9">
              <w:rPr>
                <w:rFonts w:ascii="Times New Roman" w:hAnsi="Times New Roman"/>
                <w:sz w:val="18"/>
                <w:szCs w:val="18"/>
                <w:lang w:val="ro-MD"/>
              </w:rPr>
              <w:t xml:space="preserve">(e) tranzacțiile cu termen lung de decontare. </w:t>
            </w:r>
          </w:p>
        </w:tc>
        <w:tc>
          <w:tcPr>
            <w:tcW w:w="4425" w:type="dxa"/>
            <w:shd w:val="clear" w:color="auto" w:fill="auto"/>
          </w:tcPr>
          <w:p w14:paraId="35EF038C" w14:textId="77777777" w:rsidR="009A7894" w:rsidRPr="003B14E9" w:rsidRDefault="009A7894" w:rsidP="009A7894">
            <w:pPr>
              <w:tabs>
                <w:tab w:val="left" w:pos="540"/>
              </w:tabs>
              <w:ind w:left="-43"/>
              <w:jc w:val="both"/>
              <w:rPr>
                <w:b/>
                <w:bCs/>
                <w:sz w:val="18"/>
                <w:szCs w:val="18"/>
                <w:lang w:val="ro-MD"/>
              </w:rPr>
            </w:pPr>
          </w:p>
        </w:tc>
        <w:tc>
          <w:tcPr>
            <w:tcW w:w="1160" w:type="dxa"/>
          </w:tcPr>
          <w:p w14:paraId="2D67EC69" w14:textId="46E78B7B" w:rsidR="009A7894" w:rsidRPr="003B14E9" w:rsidRDefault="009A7894" w:rsidP="009A7894">
            <w:pPr>
              <w:jc w:val="both"/>
              <w:rPr>
                <w:sz w:val="18"/>
                <w:szCs w:val="18"/>
                <w:lang w:val="ro-MD"/>
              </w:rPr>
            </w:pPr>
            <w:r w:rsidRPr="003B14E9">
              <w:rPr>
                <w:sz w:val="18"/>
                <w:szCs w:val="18"/>
                <w:lang w:val="ro-MD"/>
              </w:rPr>
              <w:t>Incompatibil</w:t>
            </w:r>
          </w:p>
        </w:tc>
        <w:tc>
          <w:tcPr>
            <w:tcW w:w="3041" w:type="dxa"/>
          </w:tcPr>
          <w:p w14:paraId="06E55283" w14:textId="2096A252" w:rsidR="009A7894" w:rsidRPr="003B14E9" w:rsidRDefault="009A7894" w:rsidP="009A7894">
            <w:pPr>
              <w:rPr>
                <w:sz w:val="18"/>
                <w:szCs w:val="18"/>
                <w:highlight w:val="red"/>
                <w:lang w:val="ro-MD"/>
              </w:rPr>
            </w:pPr>
            <w:r w:rsidRPr="003B14E9">
              <w:rPr>
                <w:sz w:val="18"/>
                <w:szCs w:val="18"/>
                <w:lang w:val="ro-MD"/>
              </w:rPr>
              <w:t>Se va transpune în reglementările ce țin de abordarea IRB.</w:t>
            </w:r>
          </w:p>
        </w:tc>
        <w:tc>
          <w:tcPr>
            <w:tcW w:w="1055" w:type="dxa"/>
            <w:tcBorders>
              <w:top w:val="single" w:sz="4" w:space="0" w:color="auto"/>
              <w:bottom w:val="single" w:sz="4" w:space="0" w:color="auto"/>
            </w:tcBorders>
          </w:tcPr>
          <w:p w14:paraId="269B2151" w14:textId="7CCEB22F" w:rsidR="009A7894" w:rsidRPr="003B14E9" w:rsidRDefault="009A7894" w:rsidP="009A7894">
            <w:pPr>
              <w:jc w:val="both"/>
              <w:rPr>
                <w:sz w:val="18"/>
                <w:szCs w:val="18"/>
                <w:lang w:val="ro-MD"/>
              </w:rPr>
            </w:pPr>
          </w:p>
        </w:tc>
        <w:tc>
          <w:tcPr>
            <w:tcW w:w="1330" w:type="dxa"/>
            <w:tcBorders>
              <w:bottom w:val="single" w:sz="4" w:space="0" w:color="auto"/>
            </w:tcBorders>
          </w:tcPr>
          <w:p w14:paraId="2859DCF8" w14:textId="77777777" w:rsidR="009A7894" w:rsidRPr="003B14E9" w:rsidRDefault="009A7894" w:rsidP="009A7894">
            <w:pPr>
              <w:jc w:val="both"/>
              <w:rPr>
                <w:sz w:val="18"/>
                <w:szCs w:val="18"/>
                <w:lang w:val="ro-MD"/>
              </w:rPr>
            </w:pPr>
          </w:p>
        </w:tc>
      </w:tr>
      <w:tr w:rsidR="009A7894" w:rsidRPr="003B14E9" w14:paraId="24370E01" w14:textId="77777777" w:rsidTr="00604EF1">
        <w:trPr>
          <w:trHeight w:val="918"/>
        </w:trPr>
        <w:tc>
          <w:tcPr>
            <w:tcW w:w="4473" w:type="dxa"/>
          </w:tcPr>
          <w:p w14:paraId="475ACDF8" w14:textId="77777777" w:rsidR="009A7894" w:rsidRPr="003B14E9" w:rsidRDefault="009A7894" w:rsidP="009A7894">
            <w:pPr>
              <w:pStyle w:val="title-article-norm"/>
              <w:jc w:val="both"/>
              <w:rPr>
                <w:i w:val="0"/>
                <w:sz w:val="18"/>
                <w:szCs w:val="18"/>
                <w:lang w:val="ro-MD"/>
              </w:rPr>
            </w:pPr>
            <w:r w:rsidRPr="003B14E9">
              <w:rPr>
                <w:i w:val="0"/>
                <w:sz w:val="18"/>
                <w:szCs w:val="18"/>
                <w:lang w:val="ro-MD"/>
              </w:rPr>
              <w:lastRenderedPageBreak/>
              <w:t xml:space="preserve">(3) Dacă o instituție achiziționează protecție prin intermediul unui instrument financiar derivat de credit pentru a acoperi o expunere din afara portofoliului de tranzacționare sau o expunere la riscul de credit al contrapărții, aceasta poate calcula cerința de fonduri proprii pentru expunerea acoperită în conformitate: </w:t>
            </w:r>
          </w:p>
          <w:p w14:paraId="019C80D5"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(a) fie cu articolele 233 - 236; </w:t>
            </w:r>
          </w:p>
          <w:p w14:paraId="6C0727C5"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(b) fie cu articolul 153 alineatul (3) sau cu articolul 183, dacă aprobarea a fost acordată în conformitate cu articolul 143. </w:t>
            </w:r>
          </w:p>
          <w:p w14:paraId="3784E8E1" w14:textId="698D99D7" w:rsidR="009A7894" w:rsidRPr="003B14E9" w:rsidRDefault="009A7894" w:rsidP="009A7894">
            <w:pPr>
              <w:pStyle w:val="CM4"/>
              <w:spacing w:after="120"/>
              <w:jc w:val="both"/>
              <w:rPr>
                <w:rFonts w:ascii="Times New Roman" w:hAnsi="Times New Roman"/>
                <w:sz w:val="18"/>
                <w:szCs w:val="18"/>
                <w:lang w:val="ro-MD"/>
              </w:rPr>
            </w:pPr>
            <w:r w:rsidRPr="003B14E9">
              <w:rPr>
                <w:rFonts w:ascii="Times New Roman" w:hAnsi="Times New Roman"/>
                <w:sz w:val="18"/>
                <w:szCs w:val="18"/>
                <w:lang w:val="ro-MD"/>
              </w:rPr>
              <w:t xml:space="preserve">Valoarea expunerii la CCR aferent acestor instrumente financiare derivate de credit este zero, cu excepția cazului în care o instituție aplică abordarea prevăzută la articolul 299 alineatul (2) litera (h) punctul (ii). </w:t>
            </w:r>
          </w:p>
        </w:tc>
        <w:tc>
          <w:tcPr>
            <w:tcW w:w="4425" w:type="dxa"/>
            <w:shd w:val="clear" w:color="auto" w:fill="auto"/>
          </w:tcPr>
          <w:p w14:paraId="00E6E1C0" w14:textId="7853BA6C" w:rsidR="009A7894" w:rsidRPr="003B14E9" w:rsidRDefault="009A7894" w:rsidP="009A7894">
            <w:pPr>
              <w:tabs>
                <w:tab w:val="left" w:pos="540"/>
              </w:tabs>
              <w:ind w:left="-43"/>
              <w:jc w:val="both"/>
              <w:rPr>
                <w:b/>
                <w:bCs/>
                <w:sz w:val="18"/>
                <w:szCs w:val="18"/>
                <w:lang w:val="ro-MD"/>
              </w:rPr>
            </w:pPr>
            <w:r w:rsidRPr="003B14E9">
              <w:rPr>
                <w:rFonts w:eastAsiaTheme="minorHAnsi"/>
                <w:b/>
                <w:bCs/>
                <w:sz w:val="18"/>
                <w:szCs w:val="18"/>
                <w:lang w:val="ro-MD"/>
              </w:rPr>
              <w:t>10.</w:t>
            </w:r>
            <w:r w:rsidRPr="003B14E9">
              <w:rPr>
                <w:rFonts w:eastAsiaTheme="minorHAnsi"/>
                <w:sz w:val="18"/>
                <w:szCs w:val="18"/>
                <w:lang w:val="ro-MD"/>
              </w:rPr>
              <w:t xml:space="preserve"> Dacă banca achiziţionează protecţie prin intermediul unui instrument financiar derivat de credit pentru a acoperi o expunere din afara portofoliului de tranzacţionare sau o expunere la riscul de credit al contrapărţii, aceasta poate calcula cerinţa de fonduri proprii pentru expunerea acoperită împotriva riscurilor în conformitate cu capitolul IX din Regulamentul nr.112/2018 cu privire la tehnicile de diminuare a riscului de credit utilizate de bănci. Valoarea expunerii la riscul de credit al contrapărţii pentru aceste instrumente financiare derivate de credit este zero, cu excepţia cazului în care banca aplică abordarea prevăzută la punctul 104 subpunctul 2).</w:t>
            </w:r>
          </w:p>
        </w:tc>
        <w:tc>
          <w:tcPr>
            <w:tcW w:w="1160" w:type="dxa"/>
          </w:tcPr>
          <w:p w14:paraId="346F2658" w14:textId="3F23C1F6" w:rsidR="009A7894" w:rsidRPr="003B14E9" w:rsidRDefault="009A7894" w:rsidP="009A7894">
            <w:pPr>
              <w:jc w:val="both"/>
              <w:rPr>
                <w:sz w:val="18"/>
                <w:szCs w:val="18"/>
                <w:lang w:val="ro-MD"/>
              </w:rPr>
            </w:pPr>
            <w:r w:rsidRPr="003B14E9">
              <w:rPr>
                <w:sz w:val="18"/>
                <w:szCs w:val="18"/>
                <w:lang w:val="ro-MD"/>
              </w:rPr>
              <w:t>Compatibil</w:t>
            </w:r>
          </w:p>
        </w:tc>
        <w:tc>
          <w:tcPr>
            <w:tcW w:w="3041" w:type="dxa"/>
          </w:tcPr>
          <w:p w14:paraId="271EBC2A"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61254D18"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6F0B6BE4" w14:textId="77777777" w:rsidR="009A7894" w:rsidRPr="003B14E9" w:rsidRDefault="009A7894" w:rsidP="009A7894">
            <w:pPr>
              <w:jc w:val="both"/>
              <w:rPr>
                <w:sz w:val="18"/>
                <w:szCs w:val="18"/>
                <w:lang w:val="ro-MD"/>
              </w:rPr>
            </w:pPr>
          </w:p>
        </w:tc>
      </w:tr>
      <w:tr w:rsidR="009A7894" w:rsidRPr="003B14E9" w14:paraId="3AEFE4BD" w14:textId="77777777" w:rsidTr="00604EF1">
        <w:trPr>
          <w:trHeight w:val="918"/>
        </w:trPr>
        <w:tc>
          <w:tcPr>
            <w:tcW w:w="4473" w:type="dxa"/>
          </w:tcPr>
          <w:p w14:paraId="75E340A9" w14:textId="2E141628" w:rsidR="009A7894" w:rsidRPr="003B14E9" w:rsidRDefault="009A7894" w:rsidP="009A7894">
            <w:pPr>
              <w:pStyle w:val="CM4"/>
              <w:spacing w:after="120"/>
              <w:jc w:val="both"/>
              <w:rPr>
                <w:rFonts w:ascii="Times New Roman" w:hAnsi="Times New Roman"/>
                <w:sz w:val="18"/>
                <w:szCs w:val="18"/>
                <w:lang w:val="ro-MD"/>
              </w:rPr>
            </w:pPr>
            <w:r w:rsidRPr="003B14E9">
              <w:rPr>
                <w:rFonts w:ascii="Times New Roman" w:hAnsi="Times New Roman"/>
                <w:sz w:val="18"/>
                <w:szCs w:val="18"/>
                <w:lang w:val="ro-MD"/>
              </w:rPr>
              <w:t>(4) În pofida alineatului (3), o instituție poate decide să includă, în mod consecvent, în calculul cerințelor de fonduri proprii pentru riscul de credit al contrapărții toate instrumentele financiare derivate de credit care nu sunt incluse în portofoliul de tranzacționare și sunt achiziționate ca protecție pentru acoperirea unei expuneri din afara portofoliului de tranzacționare sau a unei expuneri la CCR, dacă protecția creditului este recunoscută în temeiul prezentului regulament.</w:t>
            </w:r>
          </w:p>
        </w:tc>
        <w:tc>
          <w:tcPr>
            <w:tcW w:w="4425" w:type="dxa"/>
            <w:shd w:val="clear" w:color="auto" w:fill="auto"/>
          </w:tcPr>
          <w:p w14:paraId="2A348703" w14:textId="53A2BB78" w:rsidR="009A7894" w:rsidRPr="003B14E9" w:rsidRDefault="009A7894" w:rsidP="009A7894">
            <w:pPr>
              <w:tabs>
                <w:tab w:val="left" w:pos="540"/>
              </w:tabs>
              <w:ind w:left="-43"/>
              <w:jc w:val="both"/>
              <w:rPr>
                <w:b/>
                <w:bCs/>
                <w:sz w:val="18"/>
                <w:szCs w:val="18"/>
                <w:lang w:val="ro-MD"/>
              </w:rPr>
            </w:pPr>
            <w:r w:rsidRPr="003B14E9">
              <w:rPr>
                <w:b/>
                <w:bCs/>
                <w:sz w:val="18"/>
                <w:szCs w:val="18"/>
                <w:lang w:val="ro-MD"/>
              </w:rPr>
              <w:t>11.</w:t>
            </w:r>
            <w:r w:rsidRPr="003B14E9">
              <w:rPr>
                <w:sz w:val="18"/>
                <w:szCs w:val="18"/>
                <w:lang w:val="ro-MD"/>
              </w:rPr>
              <w:t xml:space="preserve"> Prin derogare de la prevederile punctului 10, banca poate decide să includă, în mod consecvent, în calculul cerinţelor de fonduri proprii pentru riscul de credit al contrapărţii toate instrumentele financiare derivate de credit care nu sunt incluse în portofoliul de tranzacţionare şi sunt achiziţionate ca protecţie pentru acoperirea unei expuneri din afara portofoliului de tranzacţionare sau a unei expuneri la riscul de credit al contrapărţii, dacă protecţia creditului este recunoscută în temeiul Regulamentului nr.112/2018 cu privire la tehnicile de diminuare a riscului de credit şi al prezentului regulament. </w:t>
            </w:r>
          </w:p>
        </w:tc>
        <w:tc>
          <w:tcPr>
            <w:tcW w:w="1160" w:type="dxa"/>
          </w:tcPr>
          <w:p w14:paraId="3C2C3C0E" w14:textId="24FEDA9D" w:rsidR="009A7894" w:rsidRPr="003B14E9" w:rsidRDefault="009A7894" w:rsidP="009A7894">
            <w:pPr>
              <w:jc w:val="both"/>
              <w:rPr>
                <w:sz w:val="18"/>
                <w:szCs w:val="18"/>
                <w:lang w:val="ro-MD"/>
              </w:rPr>
            </w:pPr>
            <w:r w:rsidRPr="003B14E9">
              <w:rPr>
                <w:sz w:val="18"/>
                <w:szCs w:val="18"/>
                <w:lang w:val="ro-MD"/>
              </w:rPr>
              <w:t>Compatibil</w:t>
            </w:r>
          </w:p>
        </w:tc>
        <w:tc>
          <w:tcPr>
            <w:tcW w:w="3041" w:type="dxa"/>
          </w:tcPr>
          <w:p w14:paraId="0808C73F"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53D06D6A"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7E0257D1" w14:textId="77777777" w:rsidR="009A7894" w:rsidRPr="003B14E9" w:rsidRDefault="009A7894" w:rsidP="009A7894">
            <w:pPr>
              <w:jc w:val="both"/>
              <w:rPr>
                <w:sz w:val="18"/>
                <w:szCs w:val="18"/>
                <w:lang w:val="ro-MD"/>
              </w:rPr>
            </w:pPr>
          </w:p>
        </w:tc>
      </w:tr>
      <w:tr w:rsidR="009A7894" w:rsidRPr="003B14E9" w14:paraId="0BF418ED" w14:textId="77777777" w:rsidTr="00604EF1">
        <w:trPr>
          <w:trHeight w:val="918"/>
        </w:trPr>
        <w:tc>
          <w:tcPr>
            <w:tcW w:w="4473" w:type="dxa"/>
          </w:tcPr>
          <w:p w14:paraId="6ED9DC59" w14:textId="5A160C18" w:rsidR="009A7894" w:rsidRPr="003B14E9" w:rsidRDefault="009A7894" w:rsidP="009A7894">
            <w:pPr>
              <w:pStyle w:val="title-article-norm"/>
              <w:jc w:val="both"/>
              <w:rPr>
                <w:i w:val="0"/>
                <w:sz w:val="18"/>
                <w:szCs w:val="18"/>
                <w:lang w:val="ro-MD"/>
              </w:rPr>
            </w:pPr>
            <w:r w:rsidRPr="003B14E9">
              <w:rPr>
                <w:i w:val="0"/>
                <w:sz w:val="18"/>
                <w:szCs w:val="18"/>
                <w:lang w:val="ro-MD"/>
              </w:rPr>
              <w:t xml:space="preserve">(5) Dacă instrumentele de tip credit default swap vândute de o instituție sunt tratate de aceasta ca protecție a creditului furnizată și fac obiectul unei cerințe de fonduri proprii pentru riscul de credit al activului suport la întregul cuantum noţional, valoarea expunerii acestor instrumente la CCT în afara portofoliului de tranzacționare este zero. </w:t>
            </w:r>
          </w:p>
        </w:tc>
        <w:tc>
          <w:tcPr>
            <w:tcW w:w="4425" w:type="dxa"/>
            <w:shd w:val="clear" w:color="auto" w:fill="auto"/>
          </w:tcPr>
          <w:p w14:paraId="341E2AAA"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t>12.</w:t>
            </w:r>
            <w:r w:rsidRPr="003B14E9">
              <w:rPr>
                <w:rFonts w:ascii="Times New Roman" w:hAnsi="Times New Roman" w:cs="Times New Roman"/>
                <w:sz w:val="18"/>
                <w:szCs w:val="18"/>
                <w:lang w:val="ro-MD"/>
              </w:rPr>
              <w:t xml:space="preserve"> Dacă instrumentele de tip credit default swap vândute de bancă sunt tratate ca protecţie a creditului furnizată de aceasta şi fac obiectul unei cerinţe de fonduri proprii pentru riscul de credit al activului suport la întregul cuantum noţional, valoarea expunerii acestor instrumente la riscul de credit al contrapărţii în afara portofoliului de tranzacţionare este zero.</w:t>
            </w:r>
          </w:p>
          <w:p w14:paraId="36E735F3" w14:textId="77777777" w:rsidR="009A7894" w:rsidRPr="003B14E9" w:rsidRDefault="009A7894" w:rsidP="009A7894">
            <w:pPr>
              <w:tabs>
                <w:tab w:val="left" w:pos="540"/>
              </w:tabs>
              <w:ind w:left="-43"/>
              <w:jc w:val="both"/>
              <w:rPr>
                <w:b/>
                <w:bCs/>
                <w:sz w:val="18"/>
                <w:szCs w:val="18"/>
                <w:lang w:val="ro-MD"/>
              </w:rPr>
            </w:pPr>
          </w:p>
        </w:tc>
        <w:tc>
          <w:tcPr>
            <w:tcW w:w="1160" w:type="dxa"/>
          </w:tcPr>
          <w:p w14:paraId="5F0D693E" w14:textId="045785CA" w:rsidR="009A7894" w:rsidRPr="003B14E9" w:rsidRDefault="009A7894" w:rsidP="009A7894">
            <w:pPr>
              <w:jc w:val="both"/>
              <w:rPr>
                <w:sz w:val="18"/>
                <w:szCs w:val="18"/>
                <w:lang w:val="ro-MD"/>
              </w:rPr>
            </w:pPr>
            <w:r w:rsidRPr="003B14E9">
              <w:rPr>
                <w:sz w:val="18"/>
                <w:szCs w:val="18"/>
                <w:lang w:val="ro-MD"/>
              </w:rPr>
              <w:t>Compatibil</w:t>
            </w:r>
          </w:p>
        </w:tc>
        <w:tc>
          <w:tcPr>
            <w:tcW w:w="3041" w:type="dxa"/>
          </w:tcPr>
          <w:p w14:paraId="208B51AF"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1BC9581B"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1645B9C3" w14:textId="77777777" w:rsidR="009A7894" w:rsidRPr="003B14E9" w:rsidRDefault="009A7894" w:rsidP="009A7894">
            <w:pPr>
              <w:jc w:val="both"/>
              <w:rPr>
                <w:sz w:val="18"/>
                <w:szCs w:val="18"/>
                <w:lang w:val="ro-MD"/>
              </w:rPr>
            </w:pPr>
          </w:p>
        </w:tc>
      </w:tr>
      <w:tr w:rsidR="009A7894" w:rsidRPr="003B14E9" w14:paraId="08352A9D" w14:textId="77777777" w:rsidTr="00604EF1">
        <w:trPr>
          <w:trHeight w:val="918"/>
        </w:trPr>
        <w:tc>
          <w:tcPr>
            <w:tcW w:w="4473" w:type="dxa"/>
          </w:tcPr>
          <w:p w14:paraId="359A3D10" w14:textId="77777777" w:rsidR="009A7894" w:rsidRPr="003B14E9" w:rsidRDefault="009A7894" w:rsidP="009A7894">
            <w:pPr>
              <w:pStyle w:val="title-article-norm"/>
              <w:numPr>
                <w:ilvl w:val="0"/>
                <w:numId w:val="10"/>
              </w:numPr>
              <w:ind w:left="0"/>
              <w:jc w:val="both"/>
              <w:rPr>
                <w:i w:val="0"/>
                <w:sz w:val="18"/>
                <w:szCs w:val="18"/>
                <w:lang w:val="ro-MD"/>
              </w:rPr>
            </w:pPr>
            <w:r w:rsidRPr="003B14E9">
              <w:rPr>
                <w:i w:val="0"/>
                <w:sz w:val="18"/>
                <w:szCs w:val="18"/>
                <w:lang w:val="ro-MD"/>
              </w:rPr>
              <w:lastRenderedPageBreak/>
              <w:t xml:space="preserve">(6) În cadrul metodelor prevăzute în secțiunile 3 - 6, valoarea expunerii pentru o anumită contraparte este egală cu suma valorilor expunerilor calculate pentru fiecare set de compensare cu contrapartida respectivă. </w:t>
            </w:r>
          </w:p>
          <w:p w14:paraId="79256AAC" w14:textId="77777777" w:rsidR="009A7894" w:rsidRPr="003B14E9" w:rsidRDefault="009A7894" w:rsidP="009A7894">
            <w:pPr>
              <w:pStyle w:val="title-article-norm"/>
              <w:numPr>
                <w:ilvl w:val="0"/>
                <w:numId w:val="10"/>
              </w:numPr>
              <w:ind w:left="0"/>
              <w:jc w:val="both"/>
              <w:rPr>
                <w:i w:val="0"/>
                <w:sz w:val="18"/>
                <w:szCs w:val="18"/>
                <w:lang w:val="ro-MD"/>
              </w:rPr>
            </w:pPr>
            <w:bookmarkStart w:id="2" w:name="_Hlk152328957"/>
            <w:r w:rsidRPr="003B14E9">
              <w:rPr>
                <w:i w:val="0"/>
                <w:sz w:val="18"/>
                <w:szCs w:val="18"/>
              </w:rPr>
              <w:t>Prin derogare de la primul paragraf, în cazul în care un contract în marjă se aplică mai multor seturi de compensare cu contrapartea respectivă, iar instituţia utilizează una dintre metodele prevăzute în secţiunile 3-6 pentru a calcula valoarea expunerii acestor seturi de compensare, valoarea expunerii se calculează în conformitate cu secţiunea relevantă</w:t>
            </w:r>
            <w:r w:rsidRPr="003B14E9">
              <w:rPr>
                <w:i w:val="0"/>
                <w:sz w:val="18"/>
                <w:szCs w:val="18"/>
                <w:lang w:val="ro-MD"/>
              </w:rPr>
              <w:t>.</w:t>
            </w:r>
          </w:p>
          <w:bookmarkEnd w:id="2"/>
          <w:p w14:paraId="6870FFC7" w14:textId="2B7A3CD9" w:rsidR="009A7894" w:rsidRPr="003B14E9" w:rsidRDefault="009A7894" w:rsidP="009A7894">
            <w:pPr>
              <w:pStyle w:val="title-article-norm"/>
              <w:jc w:val="both"/>
              <w:rPr>
                <w:i w:val="0"/>
                <w:sz w:val="18"/>
                <w:szCs w:val="18"/>
                <w:lang w:val="ro-MD"/>
              </w:rPr>
            </w:pPr>
            <w:r w:rsidRPr="003B14E9">
              <w:rPr>
                <w:i w:val="0"/>
                <w:sz w:val="18"/>
                <w:szCs w:val="18"/>
                <w:lang w:val="ro-MD"/>
              </w:rPr>
              <w:t>Pentru o anumită contraparte, valoarea expunerii pentru un anumit set de compensare a instrumentelor financiare derivate extrabursiere enumerate în anexa II, calculată în conformitate cu prezentul capitol, este valoarea mai mare dintre zero și diferența dintre suma valorilor expunerilor pentru toate seturile de compensare cu contrapartea și suma ajustărilor evaluării creditului pentru contrapartea respectivă, care este recunoscută de instituție ca fiind o reducere suportată a valorii contabile. Ajustările evaluărilor creditului se calculează fără să se țină cont de nicio ajustare compensatoare a valorii debitului atribuită propriului risc de credit al firmei care a fost deja exclus din fondurile proprii în conformitate cu articolul 33 alineatul (1) litera (c).</w:t>
            </w:r>
          </w:p>
        </w:tc>
        <w:tc>
          <w:tcPr>
            <w:tcW w:w="4425" w:type="dxa"/>
            <w:shd w:val="clear" w:color="auto" w:fill="auto"/>
          </w:tcPr>
          <w:p w14:paraId="0B7D2E1F"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t>13.</w:t>
            </w:r>
            <w:r w:rsidRPr="003B14E9">
              <w:rPr>
                <w:rFonts w:ascii="Times New Roman" w:hAnsi="Times New Roman" w:cs="Times New Roman"/>
                <w:sz w:val="18"/>
                <w:szCs w:val="18"/>
                <w:lang w:val="ro-MD"/>
              </w:rPr>
              <w:t xml:space="preserve"> În cadrul metodelor prevăzute în capitolele III-V, valoarea expunerii pentru o anumită contraparte este egală cu suma valorilor expunerilor calculate pentru fiecare set de compensare cu contrapartea respectivă. </w:t>
            </w:r>
          </w:p>
          <w:p w14:paraId="5C5F1435"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t>14.</w:t>
            </w:r>
            <w:r w:rsidRPr="003B14E9">
              <w:rPr>
                <w:rFonts w:ascii="Times New Roman" w:hAnsi="Times New Roman" w:cs="Times New Roman"/>
                <w:sz w:val="18"/>
                <w:szCs w:val="18"/>
                <w:lang w:val="ro-MD"/>
              </w:rPr>
              <w:t xml:space="preserve"> Prin derogare de la prevederile punctului 13, în cazul în care un contract în marjă se aplică mai multor seturi de compensare cu contrapartea respectivă, iar banca utilizează una dintre metodele prevăzute în capitolele III-V pentru a calcula valoarea expunerii acestor seturi de compensare, valoarea expunerii se calculează în conformitate cu secţiunea relevantă.</w:t>
            </w:r>
          </w:p>
          <w:p w14:paraId="521170ED" w14:textId="469710E4" w:rsidR="009A7894" w:rsidRPr="003B14E9" w:rsidRDefault="009A7894" w:rsidP="009A7894">
            <w:pPr>
              <w:pStyle w:val="NoSpacing"/>
              <w:tabs>
                <w:tab w:val="left" w:pos="328"/>
              </w:tabs>
              <w:jc w:val="both"/>
              <w:rPr>
                <w:rFonts w:ascii="Times New Roman" w:hAnsi="Times New Roman" w:cs="Times New Roman"/>
                <w:b/>
                <w:bCs/>
                <w:sz w:val="18"/>
                <w:szCs w:val="18"/>
                <w:lang w:val="ro-MD"/>
              </w:rPr>
            </w:pPr>
            <w:r w:rsidRPr="003B14E9">
              <w:rPr>
                <w:rFonts w:ascii="Times New Roman" w:hAnsi="Times New Roman" w:cs="Times New Roman"/>
                <w:b/>
                <w:bCs/>
                <w:sz w:val="18"/>
                <w:szCs w:val="18"/>
                <w:lang w:val="ro-MD"/>
              </w:rPr>
              <w:t>15.</w:t>
            </w:r>
            <w:r w:rsidRPr="003B14E9">
              <w:rPr>
                <w:rFonts w:ascii="Times New Roman" w:hAnsi="Times New Roman" w:cs="Times New Roman"/>
                <w:sz w:val="18"/>
                <w:szCs w:val="18"/>
                <w:lang w:val="ro-MD"/>
              </w:rPr>
              <w:t xml:space="preserve"> Pentru o anumită contraparte, valoarea expunerii pentru un anumit set de compensare a instrumentelor financiare derivate extrabursiere enumerate în anexa nr.1 la Regulamentul nr.114/2018 cu privire la tratamentul riscului de piaţă potrivit abordării standardizate, calculată în conformitate cu prezentul regulament, este valoarea mai mare dintre zero şi diferenţa dintre suma valorilor expunerilor pentru toate seturile de compensare cu contrapartea şi suma valorilor ajustării evaluării creditului (CVA) pentru contrapartea respectivă, care este recunoscută de bancă ca fiind o reducere suportată a valorii contabile. Ajustările evaluării creditului, potrivit punctului 3 din Regulamentul cu privire la tratamentul riscului de ajustare a evaluării creditului pentru bănci, se calculează fără să se ţină cont de nicio ajustare compensatoare a evaluării debitului atribuită propriului risc de credit al băncii care a fost deja exclusă din fondurile proprii în temeiul punctului 26 subpunctul 3) din Regulamentul nr.109/2018 cu privire la fondurile proprii ale băncilor şi cerinţele de capital.</w:t>
            </w:r>
          </w:p>
        </w:tc>
        <w:tc>
          <w:tcPr>
            <w:tcW w:w="1160" w:type="dxa"/>
          </w:tcPr>
          <w:p w14:paraId="022602B4" w14:textId="2C6FDA4A" w:rsidR="009A7894" w:rsidRPr="003B14E9" w:rsidRDefault="009A7894" w:rsidP="009A7894">
            <w:pPr>
              <w:jc w:val="both"/>
              <w:rPr>
                <w:sz w:val="18"/>
                <w:szCs w:val="18"/>
                <w:lang w:val="ro-MD"/>
              </w:rPr>
            </w:pPr>
            <w:r w:rsidRPr="003B14E9">
              <w:rPr>
                <w:sz w:val="18"/>
                <w:szCs w:val="18"/>
                <w:lang w:val="ro-MD"/>
              </w:rPr>
              <w:t xml:space="preserve">Compatibil </w:t>
            </w:r>
          </w:p>
        </w:tc>
        <w:tc>
          <w:tcPr>
            <w:tcW w:w="3041" w:type="dxa"/>
          </w:tcPr>
          <w:p w14:paraId="07425543"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16CDA2B8"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69E819DD" w14:textId="77777777" w:rsidR="009A7894" w:rsidRPr="003B14E9" w:rsidRDefault="009A7894" w:rsidP="009A7894">
            <w:pPr>
              <w:jc w:val="both"/>
              <w:rPr>
                <w:sz w:val="18"/>
                <w:szCs w:val="18"/>
                <w:lang w:val="ro-MD"/>
              </w:rPr>
            </w:pPr>
          </w:p>
        </w:tc>
      </w:tr>
      <w:tr w:rsidR="009A7894" w:rsidRPr="003B14E9" w14:paraId="52165800" w14:textId="77777777" w:rsidTr="00604EF1">
        <w:trPr>
          <w:trHeight w:val="918"/>
        </w:trPr>
        <w:tc>
          <w:tcPr>
            <w:tcW w:w="4473" w:type="dxa"/>
          </w:tcPr>
          <w:p w14:paraId="5D1C405D"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(7) Atunci când calculează valoarea expunerii în conformitate cu metodele prevăzute în secţiunile 3, 4 și 5, instituţiile pot trata două contracte derivate extrabursiere </w:t>
            </w:r>
            <w:r w:rsidRPr="003B14E9">
              <w:rPr>
                <w:i w:val="0"/>
                <w:sz w:val="18"/>
                <w:szCs w:val="18"/>
                <w:lang w:val="ro-MD"/>
              </w:rPr>
              <w:lastRenderedPageBreak/>
              <w:t>incluse în același acord de compensare care se potrivesc perfect ca fiind un singur contract cu o valoare principală noţională egală cu zero.</w:t>
            </w:r>
          </w:p>
          <w:p w14:paraId="1FDE24AD" w14:textId="77777777" w:rsidR="009A7894" w:rsidRPr="003B14E9" w:rsidRDefault="009A7894" w:rsidP="009A7894">
            <w:pPr>
              <w:pStyle w:val="title-article-norm"/>
              <w:jc w:val="both"/>
              <w:rPr>
                <w:i w:val="0"/>
                <w:sz w:val="18"/>
                <w:szCs w:val="18"/>
                <w:lang w:val="ro-MD"/>
              </w:rPr>
            </w:pPr>
            <w:r w:rsidRPr="003B14E9">
              <w:rPr>
                <w:i w:val="0"/>
                <w:sz w:val="18"/>
                <w:szCs w:val="18"/>
                <w:lang w:val="ro-MD"/>
              </w:rPr>
              <w:t>În sensul primului paragraf, două contracte derivate extrabursiere se  potrivesc perfect în cazul în care acestea îndeplinesc cumulativ următoarele condiţii:</w:t>
            </w:r>
          </w:p>
          <w:p w14:paraId="2831C21D" w14:textId="77777777" w:rsidR="009A7894" w:rsidRPr="003B14E9" w:rsidRDefault="009A7894" w:rsidP="009A7894">
            <w:pPr>
              <w:pStyle w:val="title-article-norm"/>
              <w:jc w:val="both"/>
              <w:rPr>
                <w:i w:val="0"/>
                <w:sz w:val="18"/>
                <w:szCs w:val="18"/>
                <w:lang w:val="ro-MD"/>
              </w:rPr>
            </w:pPr>
            <w:r w:rsidRPr="003B14E9">
              <w:rPr>
                <w:i w:val="0"/>
                <w:sz w:val="18"/>
                <w:szCs w:val="18"/>
                <w:lang w:val="ro-MD"/>
              </w:rPr>
              <w:t>(a) poziţiile lor de risc sunt de semn opus;</w:t>
            </w:r>
          </w:p>
          <w:p w14:paraId="17F08E08" w14:textId="77777777" w:rsidR="009A7894" w:rsidRPr="003B14E9" w:rsidRDefault="009A7894" w:rsidP="009A7894">
            <w:pPr>
              <w:pStyle w:val="title-article-norm"/>
              <w:jc w:val="both"/>
              <w:rPr>
                <w:i w:val="0"/>
                <w:sz w:val="18"/>
                <w:szCs w:val="18"/>
                <w:lang w:val="ro-MD"/>
              </w:rPr>
            </w:pPr>
            <w:r w:rsidRPr="003B14E9">
              <w:rPr>
                <w:i w:val="0"/>
                <w:sz w:val="18"/>
                <w:szCs w:val="18"/>
                <w:lang w:val="ro-MD"/>
              </w:rPr>
              <w:t>(b) caracteristicile lor, cu excepţia datei tranzacţionării, sunt identice;</w:t>
            </w:r>
          </w:p>
          <w:p w14:paraId="31E566B9" w14:textId="028584EE" w:rsidR="009A7894" w:rsidRPr="003B14E9" w:rsidRDefault="009A7894" w:rsidP="009A7894">
            <w:pPr>
              <w:pStyle w:val="title-article-norm"/>
              <w:jc w:val="both"/>
              <w:rPr>
                <w:i w:val="0"/>
                <w:sz w:val="18"/>
                <w:szCs w:val="18"/>
                <w:lang w:val="ro-MD"/>
              </w:rPr>
            </w:pPr>
            <w:r w:rsidRPr="003B14E9">
              <w:rPr>
                <w:i w:val="0"/>
                <w:sz w:val="18"/>
                <w:szCs w:val="18"/>
                <w:lang w:val="ro-MD"/>
              </w:rPr>
              <w:t>(c) fluxurile lor de numerar se compensează reciproc în proporţie de 100 %.</w:t>
            </w:r>
          </w:p>
        </w:tc>
        <w:tc>
          <w:tcPr>
            <w:tcW w:w="4425" w:type="dxa"/>
            <w:shd w:val="clear" w:color="auto" w:fill="auto"/>
          </w:tcPr>
          <w:p w14:paraId="57493E87"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lastRenderedPageBreak/>
              <w:t>16.</w:t>
            </w:r>
            <w:r w:rsidRPr="003B14E9">
              <w:rPr>
                <w:rFonts w:ascii="Times New Roman" w:hAnsi="Times New Roman" w:cs="Times New Roman"/>
                <w:sz w:val="18"/>
                <w:szCs w:val="18"/>
                <w:lang w:val="ro-MD"/>
              </w:rPr>
              <w:t xml:space="preserve"> Atunci când calculează valoarea expunerii în conformitate cu metodele prevăzute în capitolele III-V, băncile pot trata două contracte derivate extrabursiere incluse în același acord de compensare care se potrivesc </w:t>
            </w:r>
            <w:r w:rsidRPr="003B14E9">
              <w:rPr>
                <w:rFonts w:ascii="Times New Roman" w:hAnsi="Times New Roman" w:cs="Times New Roman"/>
                <w:sz w:val="18"/>
                <w:szCs w:val="18"/>
                <w:lang w:val="ro-MD"/>
              </w:rPr>
              <w:lastRenderedPageBreak/>
              <w:t>perfect ca fiind un singur contract cu o valoare principală noţională egală cu zero.</w:t>
            </w:r>
          </w:p>
          <w:p w14:paraId="2FF0B75C"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t>17.</w:t>
            </w:r>
            <w:r w:rsidRPr="003B14E9">
              <w:rPr>
                <w:rFonts w:ascii="Times New Roman" w:hAnsi="Times New Roman" w:cs="Times New Roman"/>
                <w:sz w:val="18"/>
                <w:szCs w:val="18"/>
                <w:lang w:val="ro-MD"/>
              </w:rPr>
              <w:t xml:space="preserve"> În sensul punctului 16, două contracte derivate extrabursiere se potrivesc perfect în cazul în care acestea îndeplinesc cumulativ următoarele condiţii:</w:t>
            </w:r>
          </w:p>
          <w:p w14:paraId="40B707A2"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sz w:val="18"/>
                <w:szCs w:val="18"/>
                <w:lang w:val="ro-MD"/>
              </w:rPr>
              <w:t>(a) poziţiile lor de risc sunt de semn opus;</w:t>
            </w:r>
          </w:p>
          <w:p w14:paraId="48ACA911"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sz w:val="18"/>
                <w:szCs w:val="18"/>
                <w:lang w:val="ro-MD"/>
              </w:rPr>
              <w:t>(b) caracteristicile lor, cu excepţia datei tranzacţionării, sunt identice;</w:t>
            </w:r>
          </w:p>
          <w:p w14:paraId="22DEDB80"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sz w:val="18"/>
                <w:szCs w:val="18"/>
                <w:lang w:val="ro-MD"/>
              </w:rPr>
              <w:t>(c) fluxurile lor de numerar se compensează reciproc în proporţie de 100 %.</w:t>
            </w:r>
          </w:p>
          <w:p w14:paraId="48A28D1D" w14:textId="77777777" w:rsidR="009A7894" w:rsidRPr="003B14E9" w:rsidRDefault="009A7894" w:rsidP="009A7894">
            <w:pPr>
              <w:pStyle w:val="NoSpacing"/>
              <w:tabs>
                <w:tab w:val="left" w:pos="328"/>
              </w:tabs>
              <w:jc w:val="both"/>
              <w:rPr>
                <w:rFonts w:ascii="Times New Roman" w:hAnsi="Times New Roman" w:cs="Times New Roman"/>
                <w:b/>
                <w:bCs/>
                <w:sz w:val="18"/>
                <w:szCs w:val="18"/>
                <w:lang w:val="ro-MD"/>
              </w:rPr>
            </w:pPr>
          </w:p>
        </w:tc>
        <w:tc>
          <w:tcPr>
            <w:tcW w:w="1160" w:type="dxa"/>
          </w:tcPr>
          <w:p w14:paraId="1F0C7D6F" w14:textId="5A978DAC" w:rsidR="009A7894" w:rsidRPr="003B14E9" w:rsidRDefault="009A7894" w:rsidP="009A7894">
            <w:pPr>
              <w:jc w:val="both"/>
              <w:rPr>
                <w:sz w:val="18"/>
                <w:szCs w:val="18"/>
                <w:lang w:val="ro-MD"/>
              </w:rPr>
            </w:pPr>
            <w:r w:rsidRPr="003B14E9">
              <w:rPr>
                <w:sz w:val="18"/>
                <w:szCs w:val="18"/>
                <w:lang w:val="ro-MD"/>
              </w:rPr>
              <w:lastRenderedPageBreak/>
              <w:t>Compatibil</w:t>
            </w:r>
          </w:p>
        </w:tc>
        <w:tc>
          <w:tcPr>
            <w:tcW w:w="3041" w:type="dxa"/>
          </w:tcPr>
          <w:p w14:paraId="3D34D461"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2EC46AE6"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4045D558" w14:textId="77777777" w:rsidR="009A7894" w:rsidRPr="003B14E9" w:rsidRDefault="009A7894" w:rsidP="009A7894">
            <w:pPr>
              <w:jc w:val="both"/>
              <w:rPr>
                <w:sz w:val="18"/>
                <w:szCs w:val="18"/>
                <w:lang w:val="ro-MD"/>
              </w:rPr>
            </w:pPr>
          </w:p>
        </w:tc>
      </w:tr>
      <w:tr w:rsidR="009A7894" w:rsidRPr="003B14E9" w14:paraId="40DD666C" w14:textId="77777777" w:rsidTr="00604EF1">
        <w:trPr>
          <w:trHeight w:val="918"/>
        </w:trPr>
        <w:tc>
          <w:tcPr>
            <w:tcW w:w="4473" w:type="dxa"/>
          </w:tcPr>
          <w:p w14:paraId="2BDE232F" w14:textId="4C2CCCDB" w:rsidR="009A7894" w:rsidRPr="003B14E9" w:rsidRDefault="009A7894" w:rsidP="009A7894">
            <w:pPr>
              <w:pStyle w:val="title-article-norm"/>
              <w:jc w:val="both"/>
              <w:rPr>
                <w:i w:val="0"/>
                <w:sz w:val="18"/>
                <w:szCs w:val="18"/>
                <w:lang w:val="ro-MD"/>
              </w:rPr>
            </w:pPr>
            <w:r w:rsidRPr="003B14E9">
              <w:rPr>
                <w:i w:val="0"/>
                <w:sz w:val="18"/>
                <w:szCs w:val="18"/>
                <w:lang w:val="ro-MD"/>
              </w:rPr>
              <w:t xml:space="preserve">(8) Instituțiile determină valoarea expunerii pentru expunerile care rezultă din tranzacții cu termen lung de decontare prin oricare din metodele prevăzute în secțiunile 3 – 6 din prezentul capitol, indiferent de metoda aleasă pentru a trata instrumentele financiare derivate extrabursiere și tranzacțiile de răscumpărare, operațiunile de dare sau luare de titluri sau mărfuri cu împrumut și tranzacțiile de creditare în marjă. La calculul cerințelor de fonduri proprii pentru tranzacțiile cu termen lung de decontare, o instituție care utilizează abordarea prevăzută în capitolul 3 poate atribui ponderi de risc în cadrul abordării prevăzute în capitolul 2, în mod permanent și indiferent de importanța acestor poziții. </w:t>
            </w:r>
          </w:p>
        </w:tc>
        <w:tc>
          <w:tcPr>
            <w:tcW w:w="4425" w:type="dxa"/>
            <w:shd w:val="clear" w:color="auto" w:fill="auto"/>
          </w:tcPr>
          <w:p w14:paraId="6DBBB9AF" w14:textId="77777777" w:rsidR="009A7894" w:rsidRPr="003B14E9" w:rsidRDefault="009A7894" w:rsidP="009A7894">
            <w:pPr>
              <w:pStyle w:val="NoSpacing"/>
              <w:tabs>
                <w:tab w:val="left" w:pos="328"/>
              </w:tabs>
              <w:jc w:val="both"/>
              <w:rPr>
                <w:rFonts w:ascii="Times New Roman" w:hAnsi="Times New Roman" w:cs="Times New Roman"/>
                <w:sz w:val="18"/>
                <w:szCs w:val="18"/>
                <w:lang w:val="ro-MD"/>
              </w:rPr>
            </w:pPr>
            <w:r w:rsidRPr="003B14E9">
              <w:rPr>
                <w:rFonts w:ascii="Times New Roman" w:hAnsi="Times New Roman" w:cs="Times New Roman"/>
                <w:b/>
                <w:bCs/>
                <w:sz w:val="18"/>
                <w:szCs w:val="18"/>
                <w:lang w:val="ro-MD"/>
              </w:rPr>
              <w:t>18.</w:t>
            </w:r>
            <w:r w:rsidRPr="003B14E9">
              <w:rPr>
                <w:rFonts w:ascii="Times New Roman" w:hAnsi="Times New Roman" w:cs="Times New Roman"/>
                <w:sz w:val="18"/>
                <w:szCs w:val="18"/>
                <w:lang w:val="ro-MD"/>
              </w:rPr>
              <w:t xml:space="preserve"> Băncile determină valoarea expunerilor care rezultă din tranzacţii cu termen lung de decontare prin oricare din metodele prevăzute în capitolele III-V, indiferent de metoda aleasă pentru a trata instrumentele financiare derivate extrabursiere şi tranzacţiile de răscumpărare, operaţiunile de dare sau luare de titluri sau mărfuri cu împrumut şi tranzacţiile de creditare în marjă.</w:t>
            </w:r>
          </w:p>
          <w:p w14:paraId="03F88A62" w14:textId="77777777" w:rsidR="009A7894" w:rsidRPr="003B14E9" w:rsidRDefault="009A7894" w:rsidP="009A7894">
            <w:pPr>
              <w:pStyle w:val="NoSpacing"/>
              <w:tabs>
                <w:tab w:val="left" w:pos="328"/>
              </w:tabs>
              <w:jc w:val="both"/>
              <w:rPr>
                <w:rFonts w:ascii="Times New Roman" w:hAnsi="Times New Roman" w:cs="Times New Roman"/>
                <w:b/>
                <w:bCs/>
                <w:sz w:val="18"/>
                <w:szCs w:val="18"/>
                <w:lang w:val="ro-MD"/>
              </w:rPr>
            </w:pPr>
          </w:p>
        </w:tc>
        <w:tc>
          <w:tcPr>
            <w:tcW w:w="1160" w:type="dxa"/>
          </w:tcPr>
          <w:p w14:paraId="70E18FF0" w14:textId="55CF5D64" w:rsidR="009A7894" w:rsidRPr="003B14E9" w:rsidRDefault="009A7894" w:rsidP="009A7894">
            <w:pPr>
              <w:jc w:val="both"/>
              <w:rPr>
                <w:sz w:val="18"/>
                <w:szCs w:val="18"/>
                <w:lang w:val="ro-MD"/>
              </w:rPr>
            </w:pPr>
            <w:r w:rsidRPr="003B14E9">
              <w:rPr>
                <w:sz w:val="18"/>
                <w:szCs w:val="18"/>
                <w:lang w:val="ro-MD"/>
              </w:rPr>
              <w:t>Compatibil</w:t>
            </w:r>
          </w:p>
        </w:tc>
        <w:tc>
          <w:tcPr>
            <w:tcW w:w="3041" w:type="dxa"/>
          </w:tcPr>
          <w:p w14:paraId="185BEF30"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19F3C7CD"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3844C243" w14:textId="77777777" w:rsidR="009A7894" w:rsidRPr="003B14E9" w:rsidRDefault="009A7894" w:rsidP="009A7894">
            <w:pPr>
              <w:jc w:val="both"/>
              <w:rPr>
                <w:sz w:val="18"/>
                <w:szCs w:val="18"/>
                <w:lang w:val="ro-MD"/>
              </w:rPr>
            </w:pPr>
          </w:p>
        </w:tc>
      </w:tr>
      <w:tr w:rsidR="009A7894" w:rsidRPr="003B14E9" w14:paraId="30FAB79A" w14:textId="77777777" w:rsidTr="00604EF1">
        <w:trPr>
          <w:trHeight w:val="918"/>
        </w:trPr>
        <w:tc>
          <w:tcPr>
            <w:tcW w:w="4473" w:type="dxa"/>
          </w:tcPr>
          <w:p w14:paraId="3E848D40" w14:textId="450C2CA5" w:rsidR="009A7894" w:rsidRPr="003B14E9" w:rsidRDefault="009A7894" w:rsidP="009A7894">
            <w:pPr>
              <w:pStyle w:val="title-article-norm"/>
              <w:jc w:val="both"/>
              <w:rPr>
                <w:i w:val="0"/>
                <w:sz w:val="18"/>
                <w:szCs w:val="18"/>
                <w:lang w:val="ro-MD"/>
              </w:rPr>
            </w:pPr>
            <w:r w:rsidRPr="003B14E9">
              <w:rPr>
                <w:i w:val="0"/>
                <w:sz w:val="18"/>
                <w:szCs w:val="18"/>
                <w:lang w:val="ro-MD"/>
              </w:rPr>
              <w:t>(9) În cazul metodelor prevăzute în secțiunile 3-6, instituțiile tratează tranzacțiile în cazul cărora a fost identificat un risc specific de corelare defavorabilă în conformitate cu articolul 291 alineatele (2), (4), (5) și (6).</w:t>
            </w:r>
          </w:p>
        </w:tc>
        <w:tc>
          <w:tcPr>
            <w:tcW w:w="4425" w:type="dxa"/>
            <w:shd w:val="clear" w:color="auto" w:fill="auto"/>
          </w:tcPr>
          <w:p w14:paraId="7F199FE3" w14:textId="77777777" w:rsidR="009A7894" w:rsidRPr="003B14E9" w:rsidRDefault="009A7894" w:rsidP="009A7894">
            <w:pPr>
              <w:tabs>
                <w:tab w:val="left" w:pos="540"/>
              </w:tabs>
              <w:jc w:val="both"/>
              <w:rPr>
                <w:sz w:val="18"/>
                <w:szCs w:val="18"/>
                <w:lang w:val="ro-MD"/>
              </w:rPr>
            </w:pPr>
            <w:r w:rsidRPr="003B14E9">
              <w:rPr>
                <w:b/>
                <w:bCs/>
                <w:sz w:val="18"/>
                <w:szCs w:val="18"/>
                <w:lang w:val="ro-MD"/>
              </w:rPr>
              <w:t>19.</w:t>
            </w:r>
            <w:r w:rsidRPr="003B14E9">
              <w:rPr>
                <w:sz w:val="18"/>
                <w:szCs w:val="18"/>
                <w:lang w:val="ro-MD"/>
              </w:rPr>
              <w:t xml:space="preserve"> În cazul metodelor prevăzute în capitolele III-V, băncile tratează tranzacţiile în cazul cărora a fost identificat un risc specific de corelare defavorabilă în conformitate cu următoarele prevederi, după caz:</w:t>
            </w:r>
          </w:p>
          <w:p w14:paraId="1517C187" w14:textId="77777777" w:rsidR="009A7894" w:rsidRPr="003B14E9" w:rsidRDefault="009A7894" w:rsidP="009A7894">
            <w:pPr>
              <w:tabs>
                <w:tab w:val="left" w:pos="540"/>
              </w:tabs>
              <w:jc w:val="both"/>
              <w:rPr>
                <w:sz w:val="18"/>
                <w:szCs w:val="18"/>
                <w:lang w:val="ro-MD"/>
              </w:rPr>
            </w:pPr>
            <w:r w:rsidRPr="003B14E9">
              <w:rPr>
                <w:sz w:val="18"/>
                <w:szCs w:val="18"/>
                <w:lang w:val="ro-MD"/>
              </w:rPr>
              <w:t>1) banca trebuie să ia în considerare în mod corespunzător expunerile care conduc la un nivel semnificativ al riscului specific şi al celui general de corelare defavorabilă;</w:t>
            </w:r>
          </w:p>
          <w:p w14:paraId="4B680779" w14:textId="77777777" w:rsidR="009A7894" w:rsidRPr="003B14E9" w:rsidRDefault="009A7894" w:rsidP="009A7894">
            <w:pPr>
              <w:tabs>
                <w:tab w:val="left" w:pos="540"/>
              </w:tabs>
              <w:jc w:val="both"/>
              <w:rPr>
                <w:sz w:val="18"/>
                <w:szCs w:val="18"/>
                <w:lang w:val="ro-MD"/>
              </w:rPr>
            </w:pPr>
            <w:r w:rsidRPr="003B14E9">
              <w:rPr>
                <w:sz w:val="18"/>
                <w:szCs w:val="18"/>
                <w:lang w:val="ro-MD"/>
              </w:rPr>
              <w:lastRenderedPageBreak/>
              <w:t>2) banca trebuie să dispună de proceduri de identificare, monitorizare şi control al cazurilor de risc specific de corelare defavorabilă pentru fiecare persoana juridică, începând de la iniţierea tranzacţiei şi continuând pe toată durata acesteia;</w:t>
            </w:r>
          </w:p>
          <w:p w14:paraId="70F385F8" w14:textId="77777777" w:rsidR="009A7894" w:rsidRPr="003B14E9" w:rsidRDefault="009A7894" w:rsidP="009A7894">
            <w:pPr>
              <w:tabs>
                <w:tab w:val="left" w:pos="540"/>
              </w:tabs>
              <w:jc w:val="both"/>
              <w:rPr>
                <w:sz w:val="18"/>
                <w:szCs w:val="18"/>
                <w:lang w:val="ro-MD"/>
              </w:rPr>
            </w:pPr>
            <w:r w:rsidRPr="003B14E9">
              <w:rPr>
                <w:sz w:val="18"/>
                <w:szCs w:val="18"/>
                <w:lang w:val="ro-MD"/>
              </w:rPr>
              <w:t>3) băncile trebuie să calculeze cerinţele de fonduri proprii pentru riscul de credit al contrapărţii legate de tranzacţiile în cazul cărora a fost identificat un risc specific de corelare defavorabilă şi atunci când există o legătură juridică între contraparte şi emitentul instrumentului-suport al instrumentului financiar derivat extrabursier sau al tranzacţiilor de răscumpărare, operaţiunilor de dare sau luare de titluri sau mărfuri cu împrumut, al tranzacţiilor de creditare în marjă, în conformitate cu următoarele principii:</w:t>
            </w:r>
          </w:p>
          <w:p w14:paraId="49677334" w14:textId="77777777" w:rsidR="009A7894" w:rsidRPr="003B14E9" w:rsidRDefault="009A7894" w:rsidP="009A7894">
            <w:pPr>
              <w:tabs>
                <w:tab w:val="left" w:pos="540"/>
              </w:tabs>
              <w:jc w:val="both"/>
              <w:rPr>
                <w:sz w:val="18"/>
                <w:szCs w:val="18"/>
                <w:lang w:val="ro-MD"/>
              </w:rPr>
            </w:pPr>
            <w:r w:rsidRPr="003B14E9">
              <w:rPr>
                <w:sz w:val="18"/>
                <w:szCs w:val="18"/>
                <w:lang w:val="ro-MD"/>
              </w:rPr>
              <w:t>a) instrumentele care reprezintă un risc specific de corelare defavorabilă nu se includ în acelaşi set de compensare cu alte tranzacţii cu contrapartea şi trebuie să fie tratate ca fiind, fiecare, ca un set de compensare separat;</w:t>
            </w:r>
          </w:p>
          <w:p w14:paraId="20BB7253" w14:textId="77777777" w:rsidR="009A7894" w:rsidRPr="003B14E9" w:rsidRDefault="009A7894" w:rsidP="009A7894">
            <w:pPr>
              <w:tabs>
                <w:tab w:val="left" w:pos="540"/>
              </w:tabs>
              <w:jc w:val="both"/>
              <w:rPr>
                <w:sz w:val="18"/>
                <w:szCs w:val="18"/>
                <w:lang w:val="ro-MD"/>
              </w:rPr>
            </w:pPr>
            <w:r w:rsidRPr="003B14E9">
              <w:rPr>
                <w:sz w:val="18"/>
                <w:szCs w:val="18"/>
                <w:lang w:val="ro-MD"/>
              </w:rPr>
              <w:t>b) în orice astfel de set de compensare separat, valoarea expunerii pentru instrumentele de tip credit default swap având la bază o singură semnătură (contract care oferă protecţie de la default din partea unui singur emitent – o singură semnătură) este egală cu întreaga pierdere aşteptată pentru restul valorii juste a instrumentelor-suport, în ipoteza că emitentul acestora este în lichidare;</w:t>
            </w:r>
          </w:p>
          <w:p w14:paraId="521DAB39" w14:textId="77777777" w:rsidR="009A7894" w:rsidRPr="003B14E9" w:rsidRDefault="009A7894" w:rsidP="009A7894">
            <w:pPr>
              <w:tabs>
                <w:tab w:val="left" w:pos="540"/>
              </w:tabs>
              <w:jc w:val="both"/>
              <w:rPr>
                <w:sz w:val="18"/>
                <w:szCs w:val="18"/>
                <w:lang w:val="ro-MD"/>
              </w:rPr>
            </w:pPr>
            <w:r w:rsidRPr="003B14E9">
              <w:rPr>
                <w:sz w:val="18"/>
                <w:szCs w:val="18"/>
                <w:lang w:val="ro-MD"/>
              </w:rPr>
              <w:t>c) ponderea de risc aplicabilă trebuie să fie cea a unei tranzacţii negarantate, în conformitate cu prevederile punctului 73 din Regulamentul cu privire la tratamentul riscului de credit pentru bănci potrivit abordării standardizate, aprobat prin HCE nr.111/2018;</w:t>
            </w:r>
          </w:p>
          <w:p w14:paraId="573E9813" w14:textId="77777777" w:rsidR="009A7894" w:rsidRPr="003B14E9" w:rsidRDefault="009A7894" w:rsidP="009A7894">
            <w:pPr>
              <w:tabs>
                <w:tab w:val="left" w:pos="540"/>
              </w:tabs>
              <w:jc w:val="both"/>
              <w:rPr>
                <w:sz w:val="18"/>
                <w:szCs w:val="18"/>
                <w:lang w:val="ro-MD"/>
              </w:rPr>
            </w:pPr>
            <w:r w:rsidRPr="003B14E9">
              <w:rPr>
                <w:sz w:val="18"/>
                <w:szCs w:val="18"/>
                <w:lang w:val="ro-MD"/>
              </w:rPr>
              <w:t xml:space="preserve">d) pentru toate celelalte tranzacţii (decât cele indicate la lit.b)) având la bază o singură semnătură din orice astfel de set de compensare separat, calculul valorii expunerii trebuie să fie efectuat ţinând seama de ipoteza unei intrări </w:t>
            </w:r>
            <w:r w:rsidRPr="003B14E9">
              <w:rPr>
                <w:sz w:val="18"/>
                <w:szCs w:val="18"/>
                <w:lang w:val="ro-MD"/>
              </w:rPr>
              <w:lastRenderedPageBreak/>
              <w:t>subite în stare de nerambursare (jump-to-default) a obligaţiilor-suport, în cazul în care există o legătură de natură juridică între emitent şi contraparte. Pentru tranzacţiile care au la bază un grup de semnături sau un indice, se aplică intrarea subită în stare de nerambursare (jump-to-default) a obligaţiilor-suport respective, dacă sunt semnificative, în care există o legătură de natură juridică între emitent şi contraparte;</w:t>
            </w:r>
          </w:p>
          <w:p w14:paraId="7E2BAC7C" w14:textId="175D0019" w:rsidR="009A7894" w:rsidRPr="003B14E9" w:rsidRDefault="009A7894" w:rsidP="009A7894">
            <w:pPr>
              <w:pStyle w:val="NoSpacing"/>
              <w:tabs>
                <w:tab w:val="left" w:pos="328"/>
              </w:tabs>
              <w:jc w:val="both"/>
              <w:rPr>
                <w:rFonts w:ascii="Times New Roman" w:hAnsi="Times New Roman" w:cs="Times New Roman"/>
                <w:b/>
                <w:bCs/>
                <w:sz w:val="18"/>
                <w:szCs w:val="18"/>
                <w:lang w:val="ro-MD"/>
              </w:rPr>
            </w:pPr>
            <w:r w:rsidRPr="003B14E9">
              <w:rPr>
                <w:rFonts w:ascii="Times New Roman" w:hAnsi="Times New Roman" w:cs="Times New Roman"/>
                <w:sz w:val="18"/>
                <w:szCs w:val="18"/>
                <w:lang w:val="ro-MD"/>
              </w:rPr>
              <w:t>4) subdiviziunile responsabile ale băncii trebuie să prezinte organului executiv şi comitetului competent al consiliului băncii rapoarte periodice privind riscul specific, precum şi riscul general de corelare defavorabilă şi măsurile luate pentru administrarea acestui risc.</w:t>
            </w:r>
          </w:p>
        </w:tc>
        <w:tc>
          <w:tcPr>
            <w:tcW w:w="1160" w:type="dxa"/>
          </w:tcPr>
          <w:p w14:paraId="6C8501E3" w14:textId="65D987D6" w:rsidR="009A7894" w:rsidRPr="003B14E9" w:rsidRDefault="009A7894" w:rsidP="009A7894">
            <w:pPr>
              <w:jc w:val="both"/>
              <w:rPr>
                <w:sz w:val="18"/>
                <w:szCs w:val="18"/>
                <w:lang w:val="ro-MD"/>
              </w:rPr>
            </w:pPr>
            <w:r w:rsidRPr="003B14E9">
              <w:rPr>
                <w:sz w:val="18"/>
                <w:szCs w:val="18"/>
                <w:lang w:val="ro-MD"/>
              </w:rPr>
              <w:lastRenderedPageBreak/>
              <w:t>Compatibil</w:t>
            </w:r>
          </w:p>
        </w:tc>
        <w:tc>
          <w:tcPr>
            <w:tcW w:w="3041" w:type="dxa"/>
          </w:tcPr>
          <w:p w14:paraId="45A65095"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186E4C5B"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5A740BEF" w14:textId="77777777" w:rsidR="009A7894" w:rsidRPr="003B14E9" w:rsidRDefault="009A7894" w:rsidP="009A7894">
            <w:pPr>
              <w:jc w:val="both"/>
              <w:rPr>
                <w:sz w:val="18"/>
                <w:szCs w:val="18"/>
                <w:lang w:val="ro-MD"/>
              </w:rPr>
            </w:pPr>
          </w:p>
        </w:tc>
      </w:tr>
      <w:tr w:rsidR="009A7894" w:rsidRPr="003B14E9" w14:paraId="274505E3" w14:textId="77777777" w:rsidTr="00604EF1">
        <w:trPr>
          <w:trHeight w:val="918"/>
        </w:trPr>
        <w:tc>
          <w:tcPr>
            <w:tcW w:w="4473" w:type="dxa"/>
          </w:tcPr>
          <w:p w14:paraId="4E8E4776" w14:textId="37364775" w:rsidR="009A7894" w:rsidRPr="003B14E9" w:rsidRDefault="009A7894" w:rsidP="000835E1">
            <w:pPr>
              <w:pStyle w:val="title-article-norm"/>
              <w:tabs>
                <w:tab w:val="left" w:pos="188"/>
              </w:tabs>
              <w:jc w:val="both"/>
              <w:rPr>
                <w:b/>
                <w:bCs/>
                <w:i w:val="0"/>
                <w:sz w:val="18"/>
                <w:szCs w:val="18"/>
                <w:lang w:val="ro-MD"/>
              </w:rPr>
            </w:pPr>
            <w:r w:rsidRPr="003B14E9">
              <w:rPr>
                <w:iCs w:val="0"/>
                <w:sz w:val="18"/>
                <w:szCs w:val="18"/>
                <w:lang w:val="ro-MD"/>
              </w:rPr>
              <w:lastRenderedPageBreak/>
              <w:t>Articolul 273a</w:t>
            </w:r>
            <w:r w:rsidR="000835E1" w:rsidRPr="003B14E9">
              <w:rPr>
                <w:iCs w:val="0"/>
                <w:sz w:val="18"/>
                <w:szCs w:val="18"/>
                <w:lang w:val="ro-MD"/>
              </w:rPr>
              <w:t xml:space="preserve"> </w:t>
            </w:r>
            <w:r w:rsidRPr="003B14E9">
              <w:rPr>
                <w:b/>
                <w:bCs/>
                <w:i w:val="0"/>
                <w:sz w:val="18"/>
                <w:szCs w:val="18"/>
                <w:lang w:val="ro-MD"/>
              </w:rPr>
              <w:t>Condiţii pentru utilizarea metodelor simplificate de calculare a valorii expunerii</w:t>
            </w:r>
          </w:p>
          <w:p w14:paraId="43585D39"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(1) O instituţie poate calcula valoarea expunerii pentru poziţiile sale pe instrumente financiare derivate în conformitate cu metoda prevăzută în secţiunea 4, cu condiţia ca volumul operaţiunilor sale bilanţiere și extrabilanţiere cu instrumente financiare derivate să fie mai mic sau egal cu fiecare dintre următoarele două praguri, pe baza unei evaluări realizate lunar, utilizând datele din ultima zi a lunii:</w:t>
            </w:r>
          </w:p>
          <w:p w14:paraId="2FFD2801"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(a) 10 % din activele totale ale instituţiei;</w:t>
            </w:r>
          </w:p>
          <w:p w14:paraId="1DF46F1B"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(b) 300 de milioane EUR.</w:t>
            </w:r>
          </w:p>
          <w:p w14:paraId="45570FE3"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 xml:space="preserve">(2) O instituţie poate calcula valoarea expunerii pentru poziţiile sale pe instrumente financiare derivate în conformitate cu metoda prevăzută în secţiunea 5, cu condiţia ca volumul operaţiunilor sale bilanţiere și extrabilanţiere cu instrumente financiare derivate să fie mai mic sau egal cu fiecare dintre următoarele două praguri, pe </w:t>
            </w:r>
            <w:r w:rsidRPr="003B14E9">
              <w:rPr>
                <w:i w:val="0"/>
                <w:sz w:val="18"/>
                <w:szCs w:val="18"/>
                <w:lang w:val="ro-MD"/>
              </w:rPr>
              <w:lastRenderedPageBreak/>
              <w:t>baza unei evaluări realizate lunar, utilizând datele din ultima zi a lunii:</w:t>
            </w:r>
          </w:p>
          <w:p w14:paraId="38095055"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(a) 5 % din activele totale ale instituţiei;</w:t>
            </w:r>
          </w:p>
          <w:p w14:paraId="585B90B0"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(b) 100 de milioane EUR.</w:t>
            </w:r>
          </w:p>
          <w:p w14:paraId="4BCA9889"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(3) În sensul alineatelor (1) și (2), instituţiile calculează volumul operaţiunilor lor bilanţiere și extrabilanţiere cu instrumente financiare derivate pe baza datelor din ultima zi a fiecărei luni, în conformitate cu următoarele cerinţe:</w:t>
            </w:r>
          </w:p>
          <w:p w14:paraId="364AAF7D"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(a) poziţiile pe instrumente financiare derivate se evaluează la valorile lor de piaţă de la data respectivă; în cazul în care valoarea de piaţă a unei poziţii nu este disponibilă la o anumită dată, instituţiile utilizează valoarea justă pentru poziţia respectivă de la data vizată; în cazul în care valoarea de piaţă și valoarea justă a unei poziţii nu sunt disponibile la o anumită dată, instituţiile utilizează cea mai recentă valoare de piaţă sau valoare justă pentru poziţia respectivă;</w:t>
            </w:r>
          </w:p>
          <w:p w14:paraId="6A3B2194"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(b) valoarea absolută a poziţiilor lungi pe instrumente financiare derivate se adună cu valoarea absolută a poziţiilor scurte pe instrumente financiare derivate;</w:t>
            </w:r>
          </w:p>
          <w:p w14:paraId="79841C6E"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(c) sunt incluse toate poziţiile pe instrumente financiare derivate, cu excepţia instrumentelor financiare derivate de credit care sunt recunoscute ca acoperiri interne împotriva expunerilor la riscul de credit din afara portofoliului de tranzacţionare.</w:t>
            </w:r>
          </w:p>
          <w:p w14:paraId="5C4396DA"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 xml:space="preserve">(4) Prin derogare de la alineatul (1) sau (2), după caz, dacă activitatea cu instrumente financiare derivate pe bază consolidată nu depășește pragurile stabilite la alineatul (1) </w:t>
            </w:r>
            <w:r w:rsidRPr="003B14E9">
              <w:rPr>
                <w:i w:val="0"/>
                <w:sz w:val="18"/>
                <w:szCs w:val="18"/>
                <w:lang w:val="ro-MD"/>
              </w:rPr>
              <w:lastRenderedPageBreak/>
              <w:t>sau (2), după caz, o instituţie care este inclusă în consolidare și care ar trebui să aplice metoda prevăzută în secţiunea 3 sau 4, deoarece depășește pragurile respective pe bază individuală, are ca alternativă, sub rezerva aprobării din partea autorităţilor competente, opţiunea de a aplica metoda care s-ar aplica pe bază consolidată.</w:t>
            </w:r>
          </w:p>
          <w:p w14:paraId="27FF22CE"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(5) Instituţiile notifică autorităţilor competente metodele prevăzute în secţiunea 4 sau 5 pe care le utilizează sau pe care încetează să le mai utilizeze, după caz, pentru a calcula valoarea expunerii pentru poziţiile lor pe instrumente financiare derivate.</w:t>
            </w:r>
          </w:p>
          <w:p w14:paraId="01E70B1C"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(6) Instituţiile nu deschid tranzacţii cu instrumente financiare derivate și nu cumpără sau vând instrumente financiare derivate cu unicul scop de a respecta oricare dintre condiţiile prevăzute la alineatele (1) și (2) în cursul evaluării lunare.</w:t>
            </w:r>
          </w:p>
          <w:p w14:paraId="5F3201C3" w14:textId="77777777" w:rsidR="009A7894" w:rsidRPr="003B14E9" w:rsidRDefault="009A7894" w:rsidP="009A7894">
            <w:pPr>
              <w:pStyle w:val="title-article-norm"/>
              <w:jc w:val="both"/>
              <w:rPr>
                <w:i w:val="0"/>
                <w:sz w:val="18"/>
                <w:szCs w:val="18"/>
                <w:lang w:val="ro-MD"/>
              </w:rPr>
            </w:pPr>
          </w:p>
        </w:tc>
        <w:tc>
          <w:tcPr>
            <w:tcW w:w="4425" w:type="dxa"/>
            <w:shd w:val="clear" w:color="auto" w:fill="auto"/>
          </w:tcPr>
          <w:p w14:paraId="17A1F596" w14:textId="77777777" w:rsidR="009A7894" w:rsidRPr="003B14E9" w:rsidRDefault="009A7894" w:rsidP="009A7894">
            <w:pPr>
              <w:pStyle w:val="CM4"/>
              <w:spacing w:before="60" w:after="60"/>
              <w:jc w:val="center"/>
              <w:rPr>
                <w:rFonts w:ascii="Times New Roman" w:hAnsi="Times New Roman"/>
                <w:color w:val="000000"/>
                <w:sz w:val="18"/>
                <w:szCs w:val="18"/>
              </w:rPr>
            </w:pPr>
            <w:r w:rsidRPr="003B14E9">
              <w:rPr>
                <w:rFonts w:ascii="Times New Roman" w:hAnsi="Times New Roman"/>
                <w:i/>
                <w:iCs/>
                <w:color w:val="000000"/>
                <w:sz w:val="18"/>
                <w:szCs w:val="18"/>
              </w:rPr>
              <w:lastRenderedPageBreak/>
              <w:t xml:space="preserve">Secțiunea a 3-a </w:t>
            </w:r>
          </w:p>
          <w:p w14:paraId="3B5728C0" w14:textId="77777777" w:rsidR="009A7894" w:rsidRPr="003B14E9" w:rsidRDefault="009A7894" w:rsidP="009A7894">
            <w:pPr>
              <w:ind w:firstLine="567"/>
              <w:jc w:val="center"/>
              <w:rPr>
                <w:b/>
                <w:bCs/>
                <w:sz w:val="18"/>
                <w:szCs w:val="18"/>
                <w:lang w:val="ro-MD"/>
              </w:rPr>
            </w:pPr>
            <w:r w:rsidRPr="003B14E9">
              <w:rPr>
                <w:b/>
                <w:bCs/>
                <w:sz w:val="18"/>
                <w:szCs w:val="18"/>
                <w:lang w:val="ro-MD"/>
              </w:rPr>
              <w:t>Condiţii pentru utilizarea metodelor simplificate de calculare a valorii expunerii</w:t>
            </w:r>
          </w:p>
          <w:p w14:paraId="19C33381" w14:textId="77777777" w:rsidR="009A7894" w:rsidRPr="003B14E9" w:rsidRDefault="009A7894" w:rsidP="009A7894">
            <w:pPr>
              <w:jc w:val="both"/>
              <w:rPr>
                <w:sz w:val="18"/>
                <w:szCs w:val="18"/>
                <w:lang w:val="ro-MD"/>
              </w:rPr>
            </w:pPr>
            <w:r w:rsidRPr="003B14E9">
              <w:rPr>
                <w:b/>
                <w:bCs/>
                <w:sz w:val="18"/>
                <w:szCs w:val="18"/>
                <w:lang w:val="ro-MD"/>
              </w:rPr>
              <w:t xml:space="preserve">21. </w:t>
            </w:r>
            <w:r w:rsidRPr="003B14E9">
              <w:rPr>
                <w:sz w:val="18"/>
                <w:szCs w:val="18"/>
                <w:lang w:val="ro-MD"/>
              </w:rPr>
              <w:t xml:space="preserve">O bancă poate calcula valoarea expunerii pentru poziţiile sale pe instrumente financiare derivate în conformitate cu metoda prevăzută în capitolul IV, cu condiţia ca volumul operaţiunilor sale bilanţiere și extrabilanţiere cu instrumente financiare derivate să fie mai mic sau egal cu fiecare dintre următoarele două praguri, pe baza unei evaluări realizate lunar, utilizând datele din ultima zi a lunii: </w:t>
            </w:r>
          </w:p>
          <w:p w14:paraId="709BA8F6" w14:textId="77777777" w:rsidR="009A7894" w:rsidRPr="003B14E9" w:rsidRDefault="009A7894" w:rsidP="009A7894">
            <w:pPr>
              <w:jc w:val="both"/>
              <w:rPr>
                <w:sz w:val="18"/>
                <w:szCs w:val="18"/>
                <w:lang w:val="ro-MD"/>
              </w:rPr>
            </w:pPr>
            <w:r w:rsidRPr="003B14E9">
              <w:rPr>
                <w:sz w:val="18"/>
                <w:szCs w:val="18"/>
                <w:lang w:val="ro-MD"/>
              </w:rPr>
              <w:t xml:space="preserve">1) 10 % din activele totale ale băncii; </w:t>
            </w:r>
          </w:p>
          <w:p w14:paraId="1EADE20D" w14:textId="77777777" w:rsidR="009A7894" w:rsidRPr="003B14E9" w:rsidRDefault="009A7894" w:rsidP="009A7894">
            <w:pPr>
              <w:jc w:val="both"/>
              <w:rPr>
                <w:sz w:val="18"/>
                <w:szCs w:val="18"/>
                <w:lang w:val="ro-MD"/>
              </w:rPr>
            </w:pPr>
            <w:r w:rsidRPr="003B14E9">
              <w:rPr>
                <w:sz w:val="18"/>
                <w:szCs w:val="18"/>
                <w:lang w:val="ro-MD"/>
              </w:rPr>
              <w:t xml:space="preserve">2) 300 de milioane EUR. </w:t>
            </w:r>
          </w:p>
          <w:p w14:paraId="0FC5C9CB" w14:textId="77777777" w:rsidR="009A7894" w:rsidRPr="003B14E9" w:rsidRDefault="009A7894" w:rsidP="009A7894">
            <w:pPr>
              <w:jc w:val="both"/>
              <w:rPr>
                <w:sz w:val="18"/>
                <w:szCs w:val="18"/>
                <w:lang w:val="ro-MD"/>
              </w:rPr>
            </w:pPr>
            <w:r w:rsidRPr="003B14E9">
              <w:rPr>
                <w:b/>
                <w:bCs/>
                <w:sz w:val="18"/>
                <w:szCs w:val="18"/>
                <w:lang w:val="ro-MD"/>
              </w:rPr>
              <w:t xml:space="preserve">22. </w:t>
            </w:r>
            <w:r w:rsidRPr="003B14E9">
              <w:rPr>
                <w:sz w:val="18"/>
                <w:szCs w:val="18"/>
                <w:lang w:val="ro-MD"/>
              </w:rPr>
              <w:t xml:space="preserve">O bancă poate calcula valoarea expunerii pentru poziţiile sale pe instrumente financiare derivate în conformitate cu metoda prevăzută în capitolul V, cu condiţia ca volumul operaţiunilor sale bilanţiere și extrabilanţiere cu instrumente financiare derivate să fie mai mic sau egal cu fiecare dintre următoarele două praguri, pe baza unei evaluări realizate lunar, utilizând datele din ultima zi a lunii: </w:t>
            </w:r>
          </w:p>
          <w:p w14:paraId="31DB25A6" w14:textId="77777777" w:rsidR="009A7894" w:rsidRPr="003B14E9" w:rsidRDefault="009A7894" w:rsidP="009A7894">
            <w:pPr>
              <w:jc w:val="both"/>
              <w:rPr>
                <w:sz w:val="18"/>
                <w:szCs w:val="18"/>
                <w:lang w:val="ro-MD"/>
              </w:rPr>
            </w:pPr>
            <w:r w:rsidRPr="003B14E9">
              <w:rPr>
                <w:sz w:val="18"/>
                <w:szCs w:val="18"/>
                <w:lang w:val="ro-MD"/>
              </w:rPr>
              <w:t xml:space="preserve">1) 5 % din activele totale ale băncii; </w:t>
            </w:r>
          </w:p>
          <w:p w14:paraId="3F400DEC" w14:textId="77777777" w:rsidR="009A7894" w:rsidRPr="003B14E9" w:rsidRDefault="009A7894" w:rsidP="009A7894">
            <w:pPr>
              <w:jc w:val="both"/>
              <w:rPr>
                <w:sz w:val="18"/>
                <w:szCs w:val="18"/>
                <w:lang w:val="ro-MD"/>
              </w:rPr>
            </w:pPr>
            <w:r w:rsidRPr="003B14E9">
              <w:rPr>
                <w:sz w:val="18"/>
                <w:szCs w:val="18"/>
                <w:lang w:val="ro-MD"/>
              </w:rPr>
              <w:t xml:space="preserve">2) 100 de milioane EUR. </w:t>
            </w:r>
          </w:p>
          <w:p w14:paraId="1762EE8E" w14:textId="77777777" w:rsidR="009A7894" w:rsidRPr="003B14E9" w:rsidRDefault="009A7894" w:rsidP="009A7894">
            <w:pPr>
              <w:jc w:val="both"/>
              <w:rPr>
                <w:sz w:val="18"/>
                <w:szCs w:val="18"/>
                <w:lang w:val="ro-MD"/>
              </w:rPr>
            </w:pPr>
            <w:r w:rsidRPr="003B14E9">
              <w:rPr>
                <w:b/>
                <w:bCs/>
                <w:sz w:val="18"/>
                <w:szCs w:val="18"/>
                <w:lang w:val="ro-MD"/>
              </w:rPr>
              <w:lastRenderedPageBreak/>
              <w:t>23.</w:t>
            </w:r>
            <w:r w:rsidRPr="003B14E9">
              <w:rPr>
                <w:sz w:val="18"/>
                <w:szCs w:val="18"/>
                <w:lang w:val="ro-MD"/>
              </w:rPr>
              <w:t xml:space="preserve"> În sensul punctelor 21 și 22, băncile calculează volumul operaţiunilor lor bilanţiere și extrabilanţiere cu instrumente financiare derivate pe baza datelor din ultima zi a fiecărei luni, în conformitate cu următoarele cerinţe: </w:t>
            </w:r>
          </w:p>
          <w:p w14:paraId="49666C91" w14:textId="77777777" w:rsidR="009A7894" w:rsidRPr="003B14E9" w:rsidRDefault="009A7894" w:rsidP="009A7894">
            <w:pPr>
              <w:jc w:val="both"/>
              <w:rPr>
                <w:sz w:val="18"/>
                <w:szCs w:val="18"/>
                <w:lang w:val="ro-MD"/>
              </w:rPr>
            </w:pPr>
            <w:r w:rsidRPr="003B14E9">
              <w:rPr>
                <w:sz w:val="18"/>
                <w:szCs w:val="18"/>
                <w:lang w:val="ro-MD"/>
              </w:rPr>
              <w:t xml:space="preserve">1) poziţiile pe instrumente financiare derivate se evaluează la valorile lor de piaţă de la data respectivă; în cazul în care valoarea de piaţă a unei poziţii nu este disponibilă la o anumită dată, băncile utilizează valoarea justă pentru poziţia respectivă de la data vizată; în cazul în care valoarea de piaţă și valoarea justă a unei poziţii nu sunt disponibile la o anumită dată, băncile utilizează cea mai recentă valoare de piaţă sau valoare justă pentru poziţia respectivă; </w:t>
            </w:r>
          </w:p>
          <w:p w14:paraId="795FCC3E" w14:textId="77777777" w:rsidR="009A7894" w:rsidRPr="003B14E9" w:rsidRDefault="009A7894" w:rsidP="009A7894">
            <w:pPr>
              <w:jc w:val="both"/>
              <w:rPr>
                <w:sz w:val="18"/>
                <w:szCs w:val="18"/>
                <w:lang w:val="ro-MD"/>
              </w:rPr>
            </w:pPr>
            <w:r w:rsidRPr="003B14E9">
              <w:rPr>
                <w:sz w:val="18"/>
                <w:szCs w:val="18"/>
                <w:lang w:val="ro-MD"/>
              </w:rPr>
              <w:t xml:space="preserve">2) valoarea absolută a poziţiilor lungi pe instrumente financiare derivate se adună cu valoarea absolută a poziţiilor scurte pe instrumente financiare derivate; </w:t>
            </w:r>
          </w:p>
          <w:p w14:paraId="6B2B50FF" w14:textId="77777777" w:rsidR="009A7894" w:rsidRPr="003B14E9" w:rsidRDefault="009A7894" w:rsidP="009A7894">
            <w:pPr>
              <w:jc w:val="both"/>
              <w:rPr>
                <w:sz w:val="18"/>
                <w:szCs w:val="18"/>
                <w:lang w:val="ro-MD"/>
              </w:rPr>
            </w:pPr>
            <w:r w:rsidRPr="003B14E9">
              <w:rPr>
                <w:sz w:val="18"/>
                <w:szCs w:val="18"/>
                <w:lang w:val="ro-MD"/>
              </w:rPr>
              <w:t xml:space="preserve">3) sunt incluse toate poziţiile pe instrumente financiare derivate, cu excepţia instrumentelor financiare derivate de credit care sunt recunoscute ca acoperiri interne împotriva expunerilor la riscul de credit din afara portofoliului de tranzacţionare. </w:t>
            </w:r>
          </w:p>
          <w:p w14:paraId="77CF24D2" w14:textId="77777777" w:rsidR="009A7894" w:rsidRPr="003B14E9" w:rsidRDefault="009A7894" w:rsidP="009A7894">
            <w:pPr>
              <w:jc w:val="both"/>
              <w:rPr>
                <w:sz w:val="18"/>
                <w:szCs w:val="18"/>
                <w:lang w:val="ro-MD" w:eastAsia="en-US"/>
              </w:rPr>
            </w:pPr>
            <w:r w:rsidRPr="003B14E9">
              <w:rPr>
                <w:b/>
                <w:bCs/>
                <w:sz w:val="18"/>
                <w:szCs w:val="18"/>
                <w:lang w:val="ro-MD" w:eastAsia="en-US"/>
              </w:rPr>
              <w:t>24.</w:t>
            </w:r>
            <w:r w:rsidRPr="003B14E9">
              <w:rPr>
                <w:sz w:val="18"/>
                <w:szCs w:val="18"/>
                <w:lang w:val="ro-MD" w:eastAsia="en-US"/>
              </w:rPr>
              <w:t xml:space="preserve"> Prin derogare de la punctele 21 sau 22, după caz, dacă activitatea cu instrumente financiare derivate pe bază consolidată nu depășește pragurile stabilite la punctele 21 sau 22, după caz, o bancă care este inclusă în consolidare și care ar trebui să aplice metoda prevăzută în capitolele III și IV, deoarece depășește pragurile respective pe bază individuală, are ca alternativă, sub rezerva aprobării din partea Băncii Naționale a Moldovei, opţiunea de a aplica metoda care s-ar aplica pe bază consolidată. </w:t>
            </w:r>
          </w:p>
          <w:p w14:paraId="60C47291" w14:textId="77777777" w:rsidR="009A7894" w:rsidRPr="003B14E9" w:rsidRDefault="009A7894" w:rsidP="009A7894">
            <w:pPr>
              <w:jc w:val="both"/>
              <w:rPr>
                <w:sz w:val="18"/>
                <w:szCs w:val="18"/>
                <w:lang w:val="ro-MD" w:eastAsia="en-US"/>
              </w:rPr>
            </w:pPr>
            <w:r w:rsidRPr="003B14E9">
              <w:rPr>
                <w:b/>
                <w:bCs/>
                <w:sz w:val="18"/>
                <w:szCs w:val="18"/>
                <w:lang w:val="ro-MD" w:eastAsia="en-US"/>
              </w:rPr>
              <w:t>25.</w:t>
            </w:r>
            <w:r w:rsidRPr="003B14E9">
              <w:rPr>
                <w:sz w:val="18"/>
                <w:szCs w:val="18"/>
                <w:lang w:val="ro-MD" w:eastAsia="en-US"/>
              </w:rPr>
              <w:t xml:space="preserve"> Băncile notifică Banca Națională a Moldovei metodele prevăzute în capitolele IV și V pe care le utilizează sau pe care încetează să le mai utilizeze, după caz, pentru a calcula valoarea expunerii pentru poziţiile lor pe instrumente financiare derivate. </w:t>
            </w:r>
          </w:p>
          <w:p w14:paraId="6B6BFC44" w14:textId="77777777" w:rsidR="009A7894" w:rsidRPr="003B14E9" w:rsidRDefault="009A7894" w:rsidP="009A7894">
            <w:pPr>
              <w:jc w:val="both"/>
              <w:rPr>
                <w:sz w:val="18"/>
                <w:szCs w:val="18"/>
                <w:lang w:val="ro-MD" w:eastAsia="en-US"/>
              </w:rPr>
            </w:pPr>
            <w:r w:rsidRPr="003B14E9">
              <w:rPr>
                <w:b/>
                <w:bCs/>
                <w:sz w:val="18"/>
                <w:szCs w:val="18"/>
                <w:lang w:val="ro-MD" w:eastAsia="en-US"/>
              </w:rPr>
              <w:lastRenderedPageBreak/>
              <w:t>26.</w:t>
            </w:r>
            <w:r w:rsidRPr="003B14E9">
              <w:rPr>
                <w:sz w:val="18"/>
                <w:szCs w:val="18"/>
                <w:lang w:val="ro-MD" w:eastAsia="en-US"/>
              </w:rPr>
              <w:t xml:space="preserve"> Băncile nu deschid tranzacţii cu instrumente financiare derivate și nu cumpără sau vând instrumente financiare derivate cu unicul scop de a respecta oricare dintre condiţiile prevăzute la punctele 21 și 22 în cursul evaluării lunare. </w:t>
            </w:r>
          </w:p>
          <w:p w14:paraId="1C7A91DA" w14:textId="77777777" w:rsidR="009A7894" w:rsidRPr="003B14E9" w:rsidRDefault="009A7894" w:rsidP="009A7894">
            <w:pPr>
              <w:pStyle w:val="NoSpacing"/>
              <w:tabs>
                <w:tab w:val="left" w:pos="328"/>
              </w:tabs>
              <w:jc w:val="both"/>
              <w:rPr>
                <w:rFonts w:ascii="Times New Roman" w:hAnsi="Times New Roman" w:cs="Times New Roman"/>
                <w:b/>
                <w:bCs/>
                <w:sz w:val="18"/>
                <w:szCs w:val="18"/>
                <w:lang w:val="ro-MD"/>
              </w:rPr>
            </w:pPr>
          </w:p>
        </w:tc>
        <w:tc>
          <w:tcPr>
            <w:tcW w:w="1160" w:type="dxa"/>
          </w:tcPr>
          <w:p w14:paraId="253A0860" w14:textId="28B9A382" w:rsidR="009A7894" w:rsidRPr="003B14E9" w:rsidRDefault="009A7894" w:rsidP="009A7894">
            <w:pPr>
              <w:jc w:val="both"/>
              <w:rPr>
                <w:sz w:val="18"/>
                <w:szCs w:val="18"/>
                <w:lang w:val="ro-MD"/>
              </w:rPr>
            </w:pPr>
            <w:r w:rsidRPr="003B14E9">
              <w:rPr>
                <w:sz w:val="18"/>
                <w:szCs w:val="18"/>
                <w:lang w:val="ro-MD"/>
              </w:rPr>
              <w:lastRenderedPageBreak/>
              <w:t>Compatibil</w:t>
            </w:r>
          </w:p>
        </w:tc>
        <w:tc>
          <w:tcPr>
            <w:tcW w:w="3041" w:type="dxa"/>
          </w:tcPr>
          <w:p w14:paraId="3E601CD9"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083F7FBC"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07140D0B" w14:textId="77777777" w:rsidR="009A7894" w:rsidRPr="003B14E9" w:rsidRDefault="009A7894" w:rsidP="009A7894">
            <w:pPr>
              <w:jc w:val="both"/>
              <w:rPr>
                <w:sz w:val="18"/>
                <w:szCs w:val="18"/>
                <w:lang w:val="ro-MD"/>
              </w:rPr>
            </w:pPr>
          </w:p>
        </w:tc>
      </w:tr>
      <w:tr w:rsidR="009A7894" w:rsidRPr="003B14E9" w14:paraId="4D3879EC" w14:textId="77777777" w:rsidTr="00604EF1">
        <w:trPr>
          <w:trHeight w:val="918"/>
        </w:trPr>
        <w:tc>
          <w:tcPr>
            <w:tcW w:w="4473" w:type="dxa"/>
          </w:tcPr>
          <w:p w14:paraId="355B4695" w14:textId="5CD7F937" w:rsidR="009A7894" w:rsidRPr="003B14E9" w:rsidRDefault="009A7894" w:rsidP="009A7894">
            <w:pPr>
              <w:pStyle w:val="title-article-norm"/>
              <w:tabs>
                <w:tab w:val="left" w:pos="188"/>
              </w:tabs>
              <w:jc w:val="both"/>
              <w:rPr>
                <w:b/>
                <w:bCs/>
                <w:i w:val="0"/>
                <w:sz w:val="18"/>
                <w:szCs w:val="18"/>
                <w:lang w:val="ro-MD"/>
              </w:rPr>
            </w:pPr>
            <w:r w:rsidRPr="003B14E9">
              <w:rPr>
                <w:iCs w:val="0"/>
                <w:sz w:val="18"/>
                <w:szCs w:val="18"/>
                <w:lang w:val="ro-MD"/>
              </w:rPr>
              <w:lastRenderedPageBreak/>
              <w:t>Articolul 273b</w:t>
            </w:r>
            <w:r w:rsidR="000835E1" w:rsidRPr="003B14E9">
              <w:rPr>
                <w:iCs w:val="0"/>
                <w:sz w:val="18"/>
                <w:szCs w:val="18"/>
                <w:lang w:val="ro-MD"/>
              </w:rPr>
              <w:t xml:space="preserve"> </w:t>
            </w:r>
            <w:r w:rsidRPr="003B14E9">
              <w:rPr>
                <w:b/>
                <w:bCs/>
                <w:i w:val="0"/>
                <w:sz w:val="18"/>
                <w:szCs w:val="18"/>
                <w:lang w:val="ro-MD"/>
              </w:rPr>
              <w:t>Nerespectarea condiţiilor pentru utilizarea metodelor simplificate de calculare a valorii expunerii pentru instrumentele financiare derivate</w:t>
            </w:r>
          </w:p>
          <w:p w14:paraId="09AF833F"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(1) O instituţie care nu mai îndeplinește una sau mai multe dintre condiţiile prevăzute la articolul 273a alineatul (1) sau (2) notifică imediat acest lucru autorităţii competente.</w:t>
            </w:r>
          </w:p>
          <w:p w14:paraId="2D4AB572"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(2) O instituţie încetează să calculeze valorile expunerilor pentru poziţiile sale pe instrumente financiare derivate în conformitate cu secţiunea 4 sau 5, după caz, în termen de trei luni de la apariţia uneia dintre următoarele situaţii:</w:t>
            </w:r>
          </w:p>
          <w:p w14:paraId="261F9AAD"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 xml:space="preserve">(a) instituţia nu îndeplinește condiţiile stabilite la articolul 273a alineatul (1) litera (a) sau alineatul (2) litera (a), după </w:t>
            </w:r>
            <w:r w:rsidRPr="003B14E9">
              <w:rPr>
                <w:i w:val="0"/>
                <w:sz w:val="18"/>
                <w:szCs w:val="18"/>
                <w:lang w:val="ro-MD"/>
              </w:rPr>
              <w:lastRenderedPageBreak/>
              <w:t>caz, sau condiţiile stabilite la articolul 273a alineatul (1) litera (b) sau alineatul (2) litera (b), după caz, timp de trei luni consecutive;</w:t>
            </w:r>
          </w:p>
          <w:p w14:paraId="257DA488" w14:textId="77777777" w:rsidR="009A7894" w:rsidRPr="003B14E9" w:rsidRDefault="009A7894" w:rsidP="009A7894">
            <w:pPr>
              <w:pStyle w:val="title-article-norm"/>
              <w:tabs>
                <w:tab w:val="left" w:pos="188"/>
              </w:tabs>
              <w:jc w:val="both"/>
              <w:rPr>
                <w:i w:val="0"/>
                <w:sz w:val="18"/>
                <w:szCs w:val="18"/>
                <w:lang w:val="ro-MD"/>
              </w:rPr>
            </w:pPr>
            <w:r w:rsidRPr="003B14E9">
              <w:rPr>
                <w:i w:val="0"/>
                <w:sz w:val="18"/>
                <w:szCs w:val="18"/>
                <w:lang w:val="ro-MD"/>
              </w:rPr>
              <w:t>(b) instituţia nu îndeplinește condiţiile stabilite la articolul 273a alineatul (1) litera (a) sau alineatul (2) litera (a), după caz, sau condiţiile stabilite la articolul 273a alineatul (1) litera (b) sau alineatul (2) litera (b), după caz, timp de peste șase din cele12 luni precedente.</w:t>
            </w:r>
          </w:p>
          <w:p w14:paraId="44695A4E" w14:textId="601DCC65" w:rsidR="009A7894" w:rsidRPr="003B14E9" w:rsidRDefault="009A7894" w:rsidP="009A7894">
            <w:pPr>
              <w:pStyle w:val="title-article-norm"/>
              <w:jc w:val="both"/>
              <w:rPr>
                <w:i w:val="0"/>
                <w:sz w:val="18"/>
                <w:szCs w:val="18"/>
                <w:lang w:val="ro-MD"/>
              </w:rPr>
            </w:pPr>
            <w:r w:rsidRPr="003B14E9">
              <w:rPr>
                <w:i w:val="0"/>
                <w:sz w:val="18"/>
                <w:szCs w:val="18"/>
                <w:lang w:val="ro-MD"/>
              </w:rPr>
              <w:t>(3) În cazul în care o instituţie a încetat să calculeze valorile expunerilor pentru poziţiile sale pe instrumente financiare derivate în conformitate cu secţiunea 4 sau 5, după caz, acesteia i se permite să își calculeze din nou valorile expunerii pentru poziţiile pe instrumente financiare derivate astfel cum este prevăzut în secţiunea 4 sau 5 numai în cazul în care demonstrează autorităţii competente că toate condiţiile prevăzute la articolul 273a alineatul (1) sau (2) au fost îndeplinite pentru o perioadă neîntreruptă de un an.</w:t>
            </w:r>
          </w:p>
        </w:tc>
        <w:tc>
          <w:tcPr>
            <w:tcW w:w="4425" w:type="dxa"/>
            <w:shd w:val="clear" w:color="auto" w:fill="auto"/>
          </w:tcPr>
          <w:p w14:paraId="72373A78" w14:textId="77777777" w:rsidR="009A7894" w:rsidRPr="003B14E9" w:rsidRDefault="009A7894" w:rsidP="009A7894">
            <w:pPr>
              <w:pStyle w:val="CM4"/>
              <w:spacing w:before="60" w:after="60"/>
              <w:jc w:val="center"/>
              <w:rPr>
                <w:rFonts w:ascii="Times New Roman" w:hAnsi="Times New Roman"/>
                <w:color w:val="000000"/>
                <w:sz w:val="18"/>
                <w:szCs w:val="18"/>
              </w:rPr>
            </w:pPr>
            <w:r w:rsidRPr="003B14E9">
              <w:rPr>
                <w:rFonts w:ascii="Times New Roman" w:hAnsi="Times New Roman"/>
                <w:i/>
                <w:iCs/>
                <w:color w:val="000000"/>
                <w:sz w:val="18"/>
                <w:szCs w:val="18"/>
              </w:rPr>
              <w:lastRenderedPageBreak/>
              <w:t xml:space="preserve">Secțiunea a 4-a </w:t>
            </w:r>
          </w:p>
          <w:p w14:paraId="4BCB107E" w14:textId="77777777" w:rsidR="009A7894" w:rsidRPr="003B14E9" w:rsidRDefault="009A7894" w:rsidP="009A7894">
            <w:pPr>
              <w:ind w:firstLine="567"/>
              <w:jc w:val="center"/>
              <w:rPr>
                <w:b/>
                <w:bCs/>
                <w:sz w:val="18"/>
                <w:szCs w:val="18"/>
                <w:lang w:val="ro-MD"/>
              </w:rPr>
            </w:pPr>
            <w:r w:rsidRPr="003B14E9">
              <w:rPr>
                <w:b/>
                <w:bCs/>
                <w:sz w:val="18"/>
                <w:szCs w:val="18"/>
                <w:lang w:val="ro-MD"/>
              </w:rPr>
              <w:t>Nerespectarea condiţiilor pentru utilizarea metodelor simplificate de calculare a valorii expunerii pentru instrumentele financiare derivate</w:t>
            </w:r>
          </w:p>
          <w:p w14:paraId="48449833" w14:textId="77777777" w:rsidR="009A7894" w:rsidRPr="003B14E9" w:rsidRDefault="009A7894" w:rsidP="009A7894">
            <w:pPr>
              <w:jc w:val="both"/>
              <w:rPr>
                <w:sz w:val="18"/>
                <w:szCs w:val="18"/>
                <w:lang w:val="ro-MD" w:eastAsia="en-US"/>
              </w:rPr>
            </w:pPr>
            <w:r w:rsidRPr="003B14E9">
              <w:rPr>
                <w:b/>
                <w:bCs/>
                <w:sz w:val="18"/>
                <w:szCs w:val="18"/>
                <w:lang w:val="ro-MD" w:eastAsia="en-US"/>
              </w:rPr>
              <w:t>27.</w:t>
            </w:r>
            <w:r w:rsidRPr="003B14E9">
              <w:rPr>
                <w:sz w:val="18"/>
                <w:szCs w:val="18"/>
                <w:lang w:val="ro-MD" w:eastAsia="en-US"/>
              </w:rPr>
              <w:t xml:space="preserve"> O bancă care nu mai îndeplinește una sau mai multe dintre condiţiile prevăzute la punctul 21 sau 22 notifică imediat acest lucru Băncii Naționale a Moldovei. </w:t>
            </w:r>
          </w:p>
          <w:p w14:paraId="0A8FC1FC" w14:textId="77777777" w:rsidR="009A7894" w:rsidRPr="003B14E9" w:rsidRDefault="009A7894" w:rsidP="009A7894">
            <w:pPr>
              <w:jc w:val="both"/>
              <w:rPr>
                <w:sz w:val="18"/>
                <w:szCs w:val="18"/>
                <w:lang w:val="ro-MD" w:eastAsia="en-US"/>
              </w:rPr>
            </w:pPr>
            <w:r w:rsidRPr="003B14E9">
              <w:rPr>
                <w:b/>
                <w:bCs/>
                <w:sz w:val="18"/>
                <w:szCs w:val="18"/>
                <w:lang w:val="ro-MD" w:eastAsia="en-US"/>
              </w:rPr>
              <w:t>28.</w:t>
            </w:r>
            <w:r w:rsidRPr="003B14E9">
              <w:rPr>
                <w:sz w:val="18"/>
                <w:szCs w:val="18"/>
                <w:lang w:val="ro-MD" w:eastAsia="en-US"/>
              </w:rPr>
              <w:t xml:space="preserve"> O bancă încetează să calculeze valorile expunerilor pentru poziţiile sale pe instrumente financiare derivate în conformitate cu capitolele IV și V, după caz, în termen de trei luni de la apariţia uneia dintre următoarele situaţii: </w:t>
            </w:r>
          </w:p>
          <w:p w14:paraId="481191C6" w14:textId="77777777" w:rsidR="009A7894" w:rsidRPr="003B14E9" w:rsidRDefault="009A7894" w:rsidP="009A7894">
            <w:pPr>
              <w:jc w:val="both"/>
              <w:rPr>
                <w:sz w:val="18"/>
                <w:szCs w:val="18"/>
                <w:lang w:val="ro-MD" w:eastAsia="en-US"/>
              </w:rPr>
            </w:pPr>
            <w:r w:rsidRPr="003B14E9">
              <w:rPr>
                <w:sz w:val="18"/>
                <w:szCs w:val="18"/>
                <w:lang w:val="ro-MD" w:eastAsia="en-US"/>
              </w:rPr>
              <w:t xml:space="preserve">1) banca nu îndeplinește condiţiile stabilite la punctul 21 subpunctul 1) sau punctul 22 subpunctul 1), după caz, sau condiţiile stabilite la punctul 21 subpunctul 2) sau punctul 22 subpunctul 2), după caz, timp de trei luni consecutive; </w:t>
            </w:r>
          </w:p>
          <w:p w14:paraId="65123FBB" w14:textId="77777777" w:rsidR="009A7894" w:rsidRPr="003B14E9" w:rsidRDefault="009A7894" w:rsidP="009A7894">
            <w:pPr>
              <w:jc w:val="both"/>
              <w:rPr>
                <w:sz w:val="18"/>
                <w:szCs w:val="18"/>
                <w:lang w:val="en-US" w:eastAsia="en-US"/>
              </w:rPr>
            </w:pPr>
            <w:r w:rsidRPr="003B14E9">
              <w:rPr>
                <w:sz w:val="18"/>
                <w:szCs w:val="18"/>
                <w:lang w:val="ro-MD" w:eastAsia="en-US"/>
              </w:rPr>
              <w:lastRenderedPageBreak/>
              <w:t xml:space="preserve">2) banca nu îndeplinește condiţiile stabilite la punctul 21 subpunctul 1) sau punctul 22 subpunctul 1), după caz, sau condiţiile stabilite la punctul 21 subpunctul 2) sau punctul 22 subpunctul 2), după caz, timp de peste șase din cele 12 luni precedente. </w:t>
            </w:r>
          </w:p>
          <w:p w14:paraId="18BA325D" w14:textId="0823CADE" w:rsidR="009A7894" w:rsidRPr="003B14E9" w:rsidRDefault="009A7894" w:rsidP="009A7894">
            <w:pPr>
              <w:pStyle w:val="NoSpacing"/>
              <w:tabs>
                <w:tab w:val="left" w:pos="328"/>
              </w:tabs>
              <w:jc w:val="both"/>
              <w:rPr>
                <w:rFonts w:ascii="Times New Roman" w:hAnsi="Times New Roman" w:cs="Times New Roman"/>
                <w:b/>
                <w:bCs/>
                <w:sz w:val="18"/>
                <w:szCs w:val="18"/>
                <w:lang w:val="ro-MD"/>
              </w:rPr>
            </w:pPr>
            <w:r w:rsidRPr="003B14E9">
              <w:rPr>
                <w:rFonts w:ascii="Times New Roman" w:hAnsi="Times New Roman" w:cs="Times New Roman"/>
                <w:b/>
                <w:bCs/>
                <w:sz w:val="18"/>
                <w:szCs w:val="18"/>
                <w:lang w:val="ro-MD"/>
              </w:rPr>
              <w:t>29.</w:t>
            </w:r>
            <w:r w:rsidRPr="003B14E9">
              <w:rPr>
                <w:rFonts w:ascii="Times New Roman" w:hAnsi="Times New Roman" w:cs="Times New Roman"/>
                <w:sz w:val="18"/>
                <w:szCs w:val="18"/>
                <w:lang w:val="ro-MD"/>
              </w:rPr>
              <w:t xml:space="preserve"> În cazul în care o bancă a încetat să calculeze valorile expunerilor pentru poziţiile sale pe instrumente financiare derivate în conformitate cu capitolele IV sau V, după caz, acesteia i se permite să își calculeze din nou valorile expunerii pentru poziţiile pe instrumente financiare derivate astfel cum este prevăzut în capitolele IV sau V numai în cazul în care demonstrează Băncii Naționale a Moldovei că toate condiţiile prevăzute la punctele 21 sau 22 au fost îndeplinite pentru o perioadă neîntreruptă de un an. </w:t>
            </w:r>
          </w:p>
        </w:tc>
        <w:tc>
          <w:tcPr>
            <w:tcW w:w="1160" w:type="dxa"/>
          </w:tcPr>
          <w:p w14:paraId="3A2ACCF6" w14:textId="602A69A2" w:rsidR="009A7894" w:rsidRPr="003B14E9" w:rsidRDefault="009A7894" w:rsidP="009A7894">
            <w:pPr>
              <w:jc w:val="both"/>
              <w:rPr>
                <w:sz w:val="18"/>
                <w:szCs w:val="18"/>
                <w:lang w:val="ro-MD"/>
              </w:rPr>
            </w:pPr>
            <w:r w:rsidRPr="003B14E9">
              <w:rPr>
                <w:sz w:val="18"/>
                <w:szCs w:val="18"/>
                <w:lang w:val="ro-MD"/>
              </w:rPr>
              <w:lastRenderedPageBreak/>
              <w:t>Compatibil</w:t>
            </w:r>
          </w:p>
        </w:tc>
        <w:tc>
          <w:tcPr>
            <w:tcW w:w="3041" w:type="dxa"/>
          </w:tcPr>
          <w:p w14:paraId="1705D588"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55DD85EA"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2E675519" w14:textId="77777777" w:rsidR="009A7894" w:rsidRPr="003B14E9" w:rsidRDefault="009A7894" w:rsidP="009A7894">
            <w:pPr>
              <w:jc w:val="both"/>
              <w:rPr>
                <w:sz w:val="18"/>
                <w:szCs w:val="18"/>
                <w:lang w:val="ro-MD"/>
              </w:rPr>
            </w:pPr>
          </w:p>
        </w:tc>
      </w:tr>
      <w:tr w:rsidR="009A7894" w:rsidRPr="003B14E9" w14:paraId="05501664" w14:textId="77777777" w:rsidTr="00604EF1">
        <w:trPr>
          <w:trHeight w:val="918"/>
        </w:trPr>
        <w:tc>
          <w:tcPr>
            <w:tcW w:w="4473" w:type="dxa"/>
          </w:tcPr>
          <w:p w14:paraId="70B2D089" w14:textId="77777777" w:rsidR="009A7894" w:rsidRPr="003B14E9" w:rsidRDefault="009A7894" w:rsidP="009A7894">
            <w:pPr>
              <w:pStyle w:val="title-article-norm"/>
              <w:rPr>
                <w:i w:val="0"/>
                <w:sz w:val="18"/>
                <w:szCs w:val="18"/>
                <w:lang w:val="ro-MD"/>
              </w:rPr>
            </w:pPr>
            <w:r w:rsidRPr="003B14E9">
              <w:rPr>
                <w:i w:val="0"/>
                <w:sz w:val="18"/>
                <w:szCs w:val="18"/>
                <w:lang w:val="ro-MD"/>
              </w:rPr>
              <w:t>Secțiunea 3</w:t>
            </w:r>
          </w:p>
          <w:p w14:paraId="16F70398" w14:textId="77777777" w:rsidR="009A7894" w:rsidRPr="003B14E9" w:rsidRDefault="009A7894" w:rsidP="009A7894">
            <w:pPr>
              <w:pStyle w:val="title-article-norm"/>
              <w:rPr>
                <w:b/>
                <w:bCs/>
                <w:i w:val="0"/>
                <w:sz w:val="18"/>
                <w:szCs w:val="18"/>
                <w:lang w:val="ro-MD"/>
              </w:rPr>
            </w:pPr>
            <w:r w:rsidRPr="003B14E9">
              <w:rPr>
                <w:b/>
                <w:bCs/>
                <w:i w:val="0"/>
                <w:sz w:val="18"/>
                <w:szCs w:val="18"/>
                <w:lang w:val="ro-MD"/>
              </w:rPr>
              <w:t>Abordarea standardizată pentru riscul de credit al contrapărții</w:t>
            </w:r>
          </w:p>
          <w:p w14:paraId="1D51A062" w14:textId="77777777" w:rsidR="009A7894" w:rsidRPr="003B14E9" w:rsidRDefault="009A7894" w:rsidP="009A7894">
            <w:pPr>
              <w:spacing w:before="200" w:after="200"/>
              <w:rPr>
                <w:rFonts w:eastAsiaTheme="minorHAnsi"/>
                <w:color w:val="000000"/>
                <w:sz w:val="18"/>
                <w:szCs w:val="18"/>
                <w:lang w:val="ro-MD" w:eastAsia="en-US"/>
              </w:rPr>
            </w:pPr>
            <w:r w:rsidRPr="003B14E9">
              <w:rPr>
                <w:i/>
                <w:iCs/>
                <w:sz w:val="18"/>
                <w:szCs w:val="18"/>
                <w:lang w:val="ro-MD"/>
              </w:rPr>
              <w:t>Articolul 274</w:t>
            </w:r>
            <w:r w:rsidRPr="003B14E9">
              <w:rPr>
                <w:sz w:val="18"/>
                <w:szCs w:val="18"/>
                <w:lang w:val="ro-MD"/>
              </w:rPr>
              <w:t xml:space="preserve"> </w:t>
            </w:r>
            <w:r w:rsidRPr="003B14E9">
              <w:rPr>
                <w:rFonts w:eastAsiaTheme="minorHAnsi"/>
                <w:b/>
                <w:bCs/>
                <w:color w:val="000000"/>
                <w:sz w:val="18"/>
                <w:szCs w:val="18"/>
                <w:lang w:val="ro-MD" w:eastAsia="en-US"/>
              </w:rPr>
              <w:t xml:space="preserve">Valoarea expunerii </w:t>
            </w:r>
          </w:p>
          <w:p w14:paraId="5F8291FD" w14:textId="77777777" w:rsidR="009A7894" w:rsidRPr="003B14E9" w:rsidRDefault="009A7894" w:rsidP="009A7894">
            <w:pPr>
              <w:pStyle w:val="title-article-norm"/>
              <w:numPr>
                <w:ilvl w:val="0"/>
                <w:numId w:val="10"/>
              </w:numPr>
              <w:ind w:left="0"/>
              <w:jc w:val="both"/>
              <w:rPr>
                <w:i w:val="0"/>
                <w:sz w:val="18"/>
                <w:szCs w:val="18"/>
                <w:lang w:val="ro-MD"/>
              </w:rPr>
            </w:pPr>
            <w:r w:rsidRPr="003B14E9">
              <w:rPr>
                <w:rFonts w:eastAsiaTheme="minorHAnsi"/>
                <w:i w:val="0"/>
                <w:iCs w:val="0"/>
                <w:color w:val="000000"/>
                <w:sz w:val="18"/>
                <w:szCs w:val="18"/>
                <w:lang w:val="ro-MD"/>
              </w:rPr>
              <w:t>(1) O instituţie poate calcula o singură valoare a expunerii la nivelul setului de compensare pentru toate tranzacţiile care fac obiectul unui acord de compensare contractuală în cazul în care sunt îndeplinite cumulativ următoarele condiţii:</w:t>
            </w:r>
          </w:p>
          <w:p w14:paraId="2F276E34" w14:textId="77777777" w:rsidR="009A7894" w:rsidRPr="003B14E9" w:rsidRDefault="009A7894" w:rsidP="009A7894">
            <w:pPr>
              <w:pStyle w:val="title-article-norm"/>
              <w:jc w:val="both"/>
              <w:rPr>
                <w:i w:val="0"/>
                <w:sz w:val="18"/>
                <w:szCs w:val="18"/>
                <w:lang w:val="ro-MD"/>
              </w:rPr>
            </w:pPr>
            <w:r w:rsidRPr="003B14E9">
              <w:rPr>
                <w:i w:val="0"/>
                <w:sz w:val="18"/>
                <w:szCs w:val="18"/>
                <w:lang w:val="ro-MD"/>
              </w:rPr>
              <w:lastRenderedPageBreak/>
              <w:t xml:space="preserve">(a) acordul de compensare face parte dintr-unul dintre tipurile de acorduri de compensare contractuală menţionate la articolul 295; </w:t>
            </w:r>
          </w:p>
          <w:p w14:paraId="16BB8BD2" w14:textId="77777777" w:rsidR="009A7894" w:rsidRPr="003B14E9" w:rsidRDefault="009A7894" w:rsidP="009A7894">
            <w:pPr>
              <w:pStyle w:val="title-article-norm"/>
              <w:jc w:val="both"/>
              <w:rPr>
                <w:i w:val="0"/>
                <w:sz w:val="18"/>
                <w:szCs w:val="18"/>
                <w:lang w:val="ro-MD"/>
              </w:rPr>
            </w:pPr>
            <w:r w:rsidRPr="003B14E9">
              <w:rPr>
                <w:i w:val="0"/>
                <w:sz w:val="18"/>
                <w:szCs w:val="18"/>
                <w:lang w:val="ro-MD"/>
              </w:rPr>
              <w:t>(b) acordul de compensare a fost recunoscut de autorităţile competente în conformitate cu articolul 296;</w:t>
            </w:r>
          </w:p>
          <w:p w14:paraId="33EFC358" w14:textId="77777777" w:rsidR="009A7894" w:rsidRPr="003B14E9" w:rsidRDefault="009A7894" w:rsidP="009A7894">
            <w:pPr>
              <w:pStyle w:val="title-article-norm"/>
              <w:jc w:val="both"/>
              <w:rPr>
                <w:i w:val="0"/>
                <w:sz w:val="18"/>
                <w:szCs w:val="18"/>
                <w:lang w:val="ro-MD"/>
              </w:rPr>
            </w:pPr>
            <w:r w:rsidRPr="003B14E9">
              <w:rPr>
                <w:i w:val="0"/>
                <w:sz w:val="18"/>
                <w:szCs w:val="18"/>
                <w:lang w:val="ro-MD"/>
              </w:rPr>
              <w:t>(c) instituţia și-a îndeplinit obligaţiile prevăzute la articolul 297 în ceea ce privește acordul de compensare.</w:t>
            </w:r>
          </w:p>
          <w:p w14:paraId="1025C876" w14:textId="77777777" w:rsidR="009A7894" w:rsidRPr="003B14E9" w:rsidRDefault="009A7894" w:rsidP="009A7894">
            <w:pPr>
              <w:pStyle w:val="title-article-norm"/>
              <w:jc w:val="both"/>
              <w:rPr>
                <w:i w:val="0"/>
                <w:sz w:val="18"/>
                <w:szCs w:val="18"/>
                <w:lang w:val="ro-MD"/>
              </w:rPr>
            </w:pPr>
            <w:r w:rsidRPr="003B14E9">
              <w:rPr>
                <w:i w:val="0"/>
                <w:sz w:val="18"/>
                <w:szCs w:val="18"/>
                <w:lang w:val="ro-MD"/>
              </w:rPr>
              <w:t>În cazul în care oricare dintre condiţiile prevăzute la primul paragraf nu este îndeplinită, instituţia tratează fiecare tranzacţie ca și cum ar fi propriul său set de compensare.</w:t>
            </w:r>
          </w:p>
          <w:p w14:paraId="148800E8" w14:textId="77777777" w:rsidR="009A7894" w:rsidRPr="003B14E9" w:rsidRDefault="009A7894" w:rsidP="009A7894">
            <w:pPr>
              <w:pStyle w:val="title-article-norm"/>
              <w:jc w:val="both"/>
              <w:rPr>
                <w:i w:val="0"/>
                <w:sz w:val="18"/>
                <w:szCs w:val="18"/>
                <w:lang w:val="ro-MD"/>
              </w:rPr>
            </w:pPr>
            <w:r w:rsidRPr="003B14E9">
              <w:rPr>
                <w:i w:val="0"/>
                <w:sz w:val="18"/>
                <w:szCs w:val="18"/>
                <w:lang w:val="ro-MD"/>
              </w:rPr>
              <w:t>(2) Instituţiile calculează valoarea expunerii unui set de compensare conform abordării standardizate pentru riscul de credit al contrapărţii după cum urmează:</w:t>
            </w:r>
          </w:p>
          <w:p w14:paraId="409773F0" w14:textId="77777777" w:rsidR="009A7894" w:rsidRPr="003B14E9" w:rsidRDefault="009A7894" w:rsidP="009A7894">
            <w:pPr>
              <w:pStyle w:val="title-article-norm"/>
              <w:jc w:val="both"/>
              <w:rPr>
                <w:i w:val="0"/>
                <w:sz w:val="18"/>
                <w:szCs w:val="18"/>
                <w:lang w:val="ro-MD"/>
              </w:rPr>
            </w:pPr>
            <w:r w:rsidRPr="003B14E9">
              <w:rPr>
                <w:i w:val="0"/>
                <w:sz w:val="18"/>
                <w:szCs w:val="18"/>
                <w:lang w:val="ro-MD"/>
              </w:rPr>
              <w:t>Valoarea expunerii = α · (RC + PFE)</w:t>
            </w:r>
          </w:p>
          <w:p w14:paraId="0D4785BF" w14:textId="77777777" w:rsidR="009A7894" w:rsidRPr="003B14E9" w:rsidRDefault="009A7894" w:rsidP="009A7894">
            <w:pPr>
              <w:pStyle w:val="title-article-norm"/>
              <w:jc w:val="both"/>
              <w:rPr>
                <w:i w:val="0"/>
                <w:sz w:val="18"/>
                <w:szCs w:val="18"/>
                <w:lang w:val="ro-MD"/>
              </w:rPr>
            </w:pPr>
            <w:r w:rsidRPr="003B14E9">
              <w:rPr>
                <w:i w:val="0"/>
                <w:sz w:val="18"/>
                <w:szCs w:val="18"/>
                <w:lang w:val="ro-MD"/>
              </w:rPr>
              <w:t>unde:</w:t>
            </w:r>
          </w:p>
          <w:p w14:paraId="0BE2B5C6" w14:textId="77777777" w:rsidR="009A7894" w:rsidRPr="003B14E9" w:rsidRDefault="009A7894" w:rsidP="009A7894">
            <w:pPr>
              <w:pStyle w:val="title-article-norm"/>
              <w:jc w:val="both"/>
              <w:rPr>
                <w:i w:val="0"/>
                <w:sz w:val="18"/>
                <w:szCs w:val="18"/>
                <w:lang w:val="ro-MD"/>
              </w:rPr>
            </w:pPr>
            <w:r w:rsidRPr="003B14E9">
              <w:rPr>
                <w:i w:val="0"/>
                <w:sz w:val="18"/>
                <w:szCs w:val="18"/>
                <w:lang w:val="ro-MD"/>
              </w:rPr>
              <w:t>RC = costul de înlocuire, calculat în conformitate cu articolul 275; și</w:t>
            </w:r>
          </w:p>
          <w:p w14:paraId="1364280D" w14:textId="77777777" w:rsidR="009A7894" w:rsidRPr="003B14E9" w:rsidRDefault="009A7894" w:rsidP="009A7894">
            <w:pPr>
              <w:pStyle w:val="title-article-norm"/>
              <w:jc w:val="both"/>
              <w:rPr>
                <w:i w:val="0"/>
                <w:sz w:val="18"/>
                <w:szCs w:val="18"/>
                <w:lang w:val="ro-MD"/>
              </w:rPr>
            </w:pPr>
            <w:r w:rsidRPr="003B14E9">
              <w:rPr>
                <w:i w:val="0"/>
                <w:sz w:val="18"/>
                <w:szCs w:val="18"/>
                <w:lang w:val="ro-MD"/>
              </w:rPr>
              <w:t>PFE = expunerea viitoare potenţială calculată în conformitate cu articolul 278;</w:t>
            </w:r>
          </w:p>
          <w:p w14:paraId="04613A44" w14:textId="77777777" w:rsidR="009A7894" w:rsidRPr="003B14E9" w:rsidRDefault="009A7894" w:rsidP="009A7894">
            <w:pPr>
              <w:pStyle w:val="title-article-norm"/>
              <w:jc w:val="both"/>
              <w:rPr>
                <w:i w:val="0"/>
                <w:sz w:val="18"/>
                <w:szCs w:val="18"/>
                <w:lang w:val="ro-MD"/>
              </w:rPr>
            </w:pPr>
            <w:r w:rsidRPr="003B14E9">
              <w:rPr>
                <w:i w:val="0"/>
                <w:sz w:val="18"/>
                <w:szCs w:val="18"/>
                <w:lang w:val="ro-MD"/>
              </w:rPr>
              <w:t>α = 1,4.</w:t>
            </w:r>
          </w:p>
          <w:p w14:paraId="2104F761" w14:textId="77777777" w:rsidR="009A7894" w:rsidRPr="003B14E9" w:rsidRDefault="009A7894" w:rsidP="009A7894">
            <w:pPr>
              <w:pStyle w:val="title-article-norm"/>
              <w:jc w:val="both"/>
              <w:rPr>
                <w:i w:val="0"/>
                <w:sz w:val="18"/>
                <w:szCs w:val="18"/>
                <w:lang w:val="ro-MD"/>
              </w:rPr>
            </w:pPr>
            <w:r w:rsidRPr="003B14E9">
              <w:rPr>
                <w:i w:val="0"/>
                <w:sz w:val="18"/>
                <w:szCs w:val="18"/>
                <w:lang w:val="ro-MD"/>
              </w:rPr>
              <w:t>(3) Valoarea expunerii unui set de compensare care face obiectul unui contract în marjă este plafonată la nivelul valorii expunerii aceluiași set de compensare în cazul în care nu ar face obiectul niciunei forme de contract în marjă.</w:t>
            </w:r>
          </w:p>
          <w:p w14:paraId="56931250" w14:textId="77777777" w:rsidR="009A7894" w:rsidRPr="003B14E9" w:rsidRDefault="009A7894" w:rsidP="009A7894">
            <w:pPr>
              <w:pStyle w:val="title-article-norm"/>
              <w:jc w:val="both"/>
              <w:rPr>
                <w:i w:val="0"/>
                <w:sz w:val="18"/>
                <w:szCs w:val="18"/>
                <w:lang w:val="ro-MD"/>
              </w:rPr>
            </w:pPr>
            <w:r w:rsidRPr="003B14E9">
              <w:rPr>
                <w:i w:val="0"/>
                <w:sz w:val="18"/>
                <w:szCs w:val="18"/>
                <w:lang w:val="ro-MD"/>
              </w:rPr>
              <w:lastRenderedPageBreak/>
              <w:t>(4) În cazul în care unui set de compensare i se aplică mai multe contracte în marjă, instituţiile atribuie fiecare contract în marjă grupului de tranzacţii din setul de compensare căruia i se aplică contractul în marjă conform clauzelor contractuale și calculează separat câte o valoare a expunerii pentru fiecare dintre aceste tranzacţii grupate.</w:t>
            </w:r>
          </w:p>
          <w:p w14:paraId="63326B3D" w14:textId="77777777" w:rsidR="009A7894" w:rsidRPr="003B14E9" w:rsidRDefault="009A7894" w:rsidP="009A7894">
            <w:pPr>
              <w:pStyle w:val="title-article-norm"/>
              <w:jc w:val="both"/>
              <w:rPr>
                <w:i w:val="0"/>
                <w:sz w:val="18"/>
                <w:szCs w:val="18"/>
                <w:lang w:val="ro-MD"/>
              </w:rPr>
            </w:pPr>
            <w:r w:rsidRPr="003B14E9">
              <w:rPr>
                <w:i w:val="0"/>
                <w:sz w:val="18"/>
                <w:szCs w:val="18"/>
                <w:lang w:val="ro-MD"/>
              </w:rPr>
              <w:t>(5) Instituţiile pot stabili ca valoarea expunerii să fie zero pentru un set de compensare care îndeplinește cumulativ următoarele condiţii:</w:t>
            </w:r>
          </w:p>
          <w:p w14:paraId="2048FDBF" w14:textId="77777777" w:rsidR="009A7894" w:rsidRPr="003B14E9" w:rsidRDefault="009A7894" w:rsidP="009A7894">
            <w:pPr>
              <w:pStyle w:val="title-article-norm"/>
              <w:jc w:val="both"/>
              <w:rPr>
                <w:i w:val="0"/>
                <w:sz w:val="18"/>
                <w:szCs w:val="18"/>
                <w:lang w:val="ro-MD"/>
              </w:rPr>
            </w:pPr>
            <w:r w:rsidRPr="003B14E9">
              <w:rPr>
                <w:i w:val="0"/>
                <w:sz w:val="18"/>
                <w:szCs w:val="18"/>
                <w:lang w:val="ro-MD"/>
              </w:rPr>
              <w:t>(a) setul de compensare este alcătuit exclusiv din opţiuni vândute;</w:t>
            </w:r>
          </w:p>
          <w:p w14:paraId="2B3B4228" w14:textId="77777777" w:rsidR="009A7894" w:rsidRPr="003B14E9" w:rsidRDefault="009A7894" w:rsidP="009A7894">
            <w:pPr>
              <w:pStyle w:val="title-article-norm"/>
              <w:jc w:val="both"/>
              <w:rPr>
                <w:i w:val="0"/>
                <w:sz w:val="18"/>
                <w:szCs w:val="18"/>
                <w:lang w:val="ro-MD"/>
              </w:rPr>
            </w:pPr>
            <w:r w:rsidRPr="003B14E9">
              <w:rPr>
                <w:i w:val="0"/>
                <w:sz w:val="18"/>
                <w:szCs w:val="18"/>
                <w:lang w:val="ro-MD"/>
              </w:rPr>
              <w:t>(b) valoarea curentă de piaţă a setului de compensare este în orice moment negativă;</w:t>
            </w:r>
          </w:p>
          <w:p w14:paraId="1B65D419" w14:textId="77777777" w:rsidR="009A7894" w:rsidRPr="003B14E9" w:rsidRDefault="009A7894" w:rsidP="009A7894">
            <w:pPr>
              <w:pStyle w:val="title-article-norm"/>
              <w:jc w:val="both"/>
              <w:rPr>
                <w:i w:val="0"/>
                <w:sz w:val="18"/>
                <w:szCs w:val="18"/>
                <w:lang w:val="ro-MD"/>
              </w:rPr>
            </w:pPr>
            <w:r w:rsidRPr="003B14E9">
              <w:rPr>
                <w:i w:val="0"/>
                <w:sz w:val="18"/>
                <w:szCs w:val="18"/>
                <w:lang w:val="ro-MD"/>
              </w:rPr>
              <w:t>(c) prima pentru toate opţiunile incluse în setul de compensare a fost primită în avans de către instituţie pentru a garanta executarea contractelor;</w:t>
            </w:r>
          </w:p>
          <w:p w14:paraId="2C867536" w14:textId="77777777" w:rsidR="009A7894" w:rsidRPr="003B14E9" w:rsidRDefault="009A7894" w:rsidP="009A7894">
            <w:pPr>
              <w:pStyle w:val="title-article-norm"/>
              <w:jc w:val="both"/>
              <w:rPr>
                <w:i w:val="0"/>
                <w:sz w:val="18"/>
                <w:szCs w:val="18"/>
                <w:lang w:val="ro-MD"/>
              </w:rPr>
            </w:pPr>
            <w:r w:rsidRPr="003B14E9">
              <w:rPr>
                <w:i w:val="0"/>
                <w:sz w:val="18"/>
                <w:szCs w:val="18"/>
                <w:lang w:val="ro-MD"/>
              </w:rPr>
              <w:t>(d) setul de compensare nu face obiectul niciunui contract în marjă.</w:t>
            </w:r>
          </w:p>
          <w:p w14:paraId="3D4B5FF3" w14:textId="77777777" w:rsidR="009A7894" w:rsidRPr="003B14E9" w:rsidRDefault="009A7894" w:rsidP="009A7894">
            <w:pPr>
              <w:pStyle w:val="title-article-norm"/>
              <w:jc w:val="both"/>
              <w:rPr>
                <w:i w:val="0"/>
                <w:sz w:val="18"/>
                <w:szCs w:val="18"/>
                <w:lang w:val="ro-MD"/>
              </w:rPr>
            </w:pPr>
            <w:r w:rsidRPr="003B14E9">
              <w:rPr>
                <w:i w:val="0"/>
                <w:sz w:val="18"/>
                <w:szCs w:val="18"/>
                <w:lang w:val="ro-MD"/>
              </w:rPr>
              <w:t xml:space="preserve">(6) Într-un set de compensare, instituţiile înlocuiesc o tranzacţie care este o combinaţie liniară finită de opţiuni call sau put cumpărate sau vândute cu toate opţiunile individuale care formează combinaţia liniară respectivă, privite ca o tranzacţie individuală, pentru a calcula valoarea expunerii setului de compensare în conformitate cu prezenta secţiune. Fiecare combinaţie de opţiuni de acest tip este considerată ca o tranzacţie individuală din setul de </w:t>
            </w:r>
            <w:r w:rsidRPr="003B14E9">
              <w:rPr>
                <w:i w:val="0"/>
                <w:sz w:val="18"/>
                <w:szCs w:val="18"/>
                <w:lang w:val="ro-MD"/>
              </w:rPr>
              <w:lastRenderedPageBreak/>
              <w:t>compensare în care este inclusă combinaţia pentru a calcula valoarea expunerii.</w:t>
            </w:r>
          </w:p>
          <w:p w14:paraId="554E0774" w14:textId="0FACC41F" w:rsidR="009A7894" w:rsidRPr="003B14E9" w:rsidRDefault="009A7894" w:rsidP="009A7894">
            <w:pPr>
              <w:pStyle w:val="title-article-norm"/>
              <w:jc w:val="both"/>
              <w:rPr>
                <w:i w:val="0"/>
                <w:sz w:val="18"/>
                <w:szCs w:val="18"/>
                <w:lang w:val="ro-MD"/>
              </w:rPr>
            </w:pPr>
            <w:r w:rsidRPr="003B14E9">
              <w:rPr>
                <w:i w:val="0"/>
                <w:sz w:val="18"/>
                <w:szCs w:val="18"/>
                <w:lang w:val="ro-MD"/>
              </w:rPr>
              <w:t>(7) Valoarea expunerii unei tranzacţii cu instrumente financiare derivate de credit care reprezintă o poziţie lungă în suport poate fi plafonată la cuantumul primei neplătite restante, cu condiţia ca aceasta să fie tratată drept propriul său set de compensare care nu face obiectul unui contract în marjă.</w:t>
            </w:r>
          </w:p>
        </w:tc>
        <w:tc>
          <w:tcPr>
            <w:tcW w:w="4425" w:type="dxa"/>
            <w:shd w:val="clear" w:color="auto" w:fill="auto"/>
          </w:tcPr>
          <w:p w14:paraId="71ECA0BE" w14:textId="77777777" w:rsidR="009A7894" w:rsidRPr="003B14E9" w:rsidRDefault="009A7894" w:rsidP="009A7894">
            <w:pPr>
              <w:tabs>
                <w:tab w:val="left" w:pos="780"/>
              </w:tabs>
              <w:jc w:val="center"/>
              <w:rPr>
                <w:b/>
                <w:bCs/>
                <w:sz w:val="18"/>
                <w:szCs w:val="18"/>
                <w:lang w:val="ro-MD" w:eastAsia="en-US"/>
              </w:rPr>
            </w:pPr>
            <w:r w:rsidRPr="003B14E9">
              <w:rPr>
                <w:b/>
                <w:bCs/>
                <w:sz w:val="18"/>
                <w:szCs w:val="18"/>
                <w:lang w:val="ro-MD" w:eastAsia="en-US"/>
              </w:rPr>
              <w:lastRenderedPageBreak/>
              <w:t>Capitolul III</w:t>
            </w:r>
          </w:p>
          <w:p w14:paraId="1DDF7DCE" w14:textId="77777777" w:rsidR="009A7894" w:rsidRPr="003B14E9" w:rsidRDefault="009A7894" w:rsidP="009A7894">
            <w:pPr>
              <w:tabs>
                <w:tab w:val="left" w:pos="780"/>
              </w:tabs>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Abordarea standardizată pentru riscul de credit al contrapărţii</w:t>
            </w:r>
          </w:p>
          <w:p w14:paraId="21EA0727" w14:textId="77777777" w:rsidR="009A7894" w:rsidRPr="003B14E9" w:rsidRDefault="009A7894" w:rsidP="009A7894">
            <w:pPr>
              <w:tabs>
                <w:tab w:val="left" w:pos="780"/>
              </w:tabs>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i/>
                <w:iCs/>
                <w:color w:val="000000"/>
                <w:sz w:val="18"/>
                <w:szCs w:val="18"/>
                <w:lang w:val="ro-MD" w:eastAsia="en-US"/>
                <w14:ligatures w14:val="standardContextual"/>
              </w:rPr>
              <w:t>Secțiunea 1</w:t>
            </w:r>
          </w:p>
          <w:p w14:paraId="2A21294D" w14:textId="77777777" w:rsidR="009A7894" w:rsidRPr="003B14E9" w:rsidRDefault="009A7894" w:rsidP="009A7894">
            <w:pPr>
              <w:tabs>
                <w:tab w:val="left" w:pos="780"/>
              </w:tabs>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Valoarea expunerii</w:t>
            </w:r>
          </w:p>
          <w:p w14:paraId="553A4969"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30.</w:t>
            </w:r>
            <w:r w:rsidRPr="003B14E9">
              <w:rPr>
                <w:rFonts w:eastAsiaTheme="minorHAnsi"/>
                <w:color w:val="000000"/>
                <w:sz w:val="18"/>
                <w:szCs w:val="18"/>
                <w:lang w:val="ro-MD" w:eastAsia="en-US"/>
                <w14:ligatures w14:val="standardContextual"/>
              </w:rPr>
              <w:t xml:space="preserve"> O bancă poate calcula o singură valoare a expunerii la nivelul setului de compensare pentru toate tranzacţiile care fac obiectul unui acord de compensare contractuală în cazul în care sunt îndeplinite cumulativ următoarele condiţii:</w:t>
            </w:r>
          </w:p>
          <w:p w14:paraId="381F2433"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1) acordul de compensare face parte dintr-unul dintre tipurile de acorduri de compensare contractuală menţionate la punctul 90;</w:t>
            </w:r>
          </w:p>
          <w:p w14:paraId="1DBC9750"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2) acordul de compensare a fost recunoscut de Banca Națională a Moldovei în conformitate cu punctele 92 și 93;</w:t>
            </w:r>
          </w:p>
          <w:p w14:paraId="6705A948"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3) banca și-a îndeplinit obligaţiile prevăzute la punctele 94-96  în ceea ce privește acordul de compensare. </w:t>
            </w:r>
          </w:p>
          <w:p w14:paraId="5F3C2B76"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31.</w:t>
            </w:r>
            <w:r w:rsidRPr="003B14E9">
              <w:rPr>
                <w:rFonts w:eastAsiaTheme="minorHAnsi"/>
                <w:color w:val="000000"/>
                <w:sz w:val="18"/>
                <w:szCs w:val="18"/>
                <w:lang w:val="ro-MD" w:eastAsia="en-US"/>
                <w14:ligatures w14:val="standardContextual"/>
              </w:rPr>
              <w:t xml:space="preserve"> În cazul în care oricare dintre condiţiile prevăzute la punctul 30 nu este îndeplinită, banca tratează fiecare tranzacţie ca și cum ar fi propriul său set de compensare. </w:t>
            </w:r>
          </w:p>
          <w:p w14:paraId="225C34D2"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 xml:space="preserve">32. </w:t>
            </w:r>
            <w:r w:rsidRPr="003B14E9">
              <w:rPr>
                <w:rFonts w:eastAsiaTheme="minorHAnsi"/>
                <w:color w:val="000000"/>
                <w:sz w:val="18"/>
                <w:szCs w:val="18"/>
                <w:lang w:val="ro-MD" w:eastAsia="en-US"/>
                <w14:ligatures w14:val="standardContextual"/>
              </w:rPr>
              <w:t xml:space="preserve">Băncile calculează valoarea expunerii unui set de compensare conform abordării standardizate pentru riscul de credit al contrapărţii după cum urmează: </w:t>
            </w:r>
          </w:p>
          <w:p w14:paraId="466325CB" w14:textId="77777777" w:rsidR="009A7894" w:rsidRPr="003B14E9" w:rsidRDefault="009A7894" w:rsidP="009A7894">
            <w:pPr>
              <w:tabs>
                <w:tab w:val="left" w:pos="780"/>
              </w:tabs>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Valoarea expunerii = α · (RC + PFE)</w:t>
            </w:r>
          </w:p>
          <w:p w14:paraId="64ADBDDA" w14:textId="77777777" w:rsidR="009A7894" w:rsidRPr="003B14E9" w:rsidRDefault="009A7894" w:rsidP="009A7894">
            <w:pPr>
              <w:tabs>
                <w:tab w:val="left" w:pos="780"/>
              </w:tabs>
              <w:autoSpaceDE w:val="0"/>
              <w:autoSpaceDN w:val="0"/>
              <w:adjustRightInd w:val="0"/>
              <w:spacing w:before="60" w:after="6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78593D9E" w14:textId="77777777" w:rsidR="009A7894" w:rsidRPr="003B14E9" w:rsidRDefault="009A7894" w:rsidP="009A7894">
            <w:pPr>
              <w:tabs>
                <w:tab w:val="left" w:pos="780"/>
              </w:tabs>
              <w:autoSpaceDE w:val="0"/>
              <w:autoSpaceDN w:val="0"/>
              <w:adjustRightInd w:val="0"/>
              <w:spacing w:before="60" w:after="6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RC = costul de înlocuire, calculat în conformitate cu punctele 38-40; și </w:t>
            </w:r>
          </w:p>
          <w:p w14:paraId="129DC60B" w14:textId="77777777" w:rsidR="009A7894" w:rsidRPr="003B14E9" w:rsidRDefault="009A7894" w:rsidP="009A7894">
            <w:pPr>
              <w:tabs>
                <w:tab w:val="left" w:pos="780"/>
              </w:tabs>
              <w:autoSpaceDE w:val="0"/>
              <w:autoSpaceDN w:val="0"/>
              <w:adjustRightInd w:val="0"/>
              <w:spacing w:before="60" w:after="6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PFE = expunerea viitoare potenţială calculată în conformitate cu punctele 51-53; </w:t>
            </w:r>
          </w:p>
          <w:p w14:paraId="49C36059" w14:textId="77777777" w:rsidR="009A7894" w:rsidRPr="003B14E9" w:rsidRDefault="009A7894" w:rsidP="009A7894">
            <w:pPr>
              <w:tabs>
                <w:tab w:val="left" w:pos="780"/>
              </w:tabs>
              <w:autoSpaceDE w:val="0"/>
              <w:autoSpaceDN w:val="0"/>
              <w:adjustRightInd w:val="0"/>
              <w:spacing w:before="60" w:after="6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α = 1,4. </w:t>
            </w:r>
          </w:p>
          <w:p w14:paraId="675413B1"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 xml:space="preserve">33. </w:t>
            </w:r>
            <w:r w:rsidRPr="003B14E9">
              <w:rPr>
                <w:rFonts w:eastAsiaTheme="minorHAnsi"/>
                <w:color w:val="000000"/>
                <w:sz w:val="18"/>
                <w:szCs w:val="18"/>
                <w:lang w:val="ro-MD" w:eastAsia="en-US"/>
                <w14:ligatures w14:val="standardContextual"/>
              </w:rPr>
              <w:t xml:space="preserve">Valoarea expunerii unui set de compensare care face obiectul unui contract în marjă este plafonată la nivelul valorii expunerii aceluiași set de compensare în cazul în care nu ar face obiectul niciunei forme de contract în marjă. </w:t>
            </w:r>
          </w:p>
          <w:p w14:paraId="1F845395"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34.</w:t>
            </w:r>
            <w:r w:rsidRPr="003B14E9">
              <w:rPr>
                <w:rFonts w:eastAsiaTheme="minorHAnsi"/>
                <w:color w:val="000000"/>
                <w:sz w:val="18"/>
                <w:szCs w:val="18"/>
                <w:lang w:val="ro-MD" w:eastAsia="en-US"/>
                <w14:ligatures w14:val="standardContextual"/>
              </w:rPr>
              <w:t xml:space="preserve"> În cazul în care unui set de compensare i se aplică mai multe contracte în marjă, băncile atribuie fiecare contract în marjă grupului de tranzacţii din setul de compensare căruia i se aplică contractul în marjă conform clauzelor contractuale și calculează separat câte o valoare a expunerii pentru fiecare dintre aceste tranzacţii grupate. </w:t>
            </w:r>
          </w:p>
          <w:p w14:paraId="32872C48"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35.</w:t>
            </w:r>
            <w:r w:rsidRPr="003B14E9">
              <w:rPr>
                <w:rFonts w:eastAsiaTheme="minorHAnsi"/>
                <w:color w:val="000000"/>
                <w:sz w:val="18"/>
                <w:szCs w:val="18"/>
                <w:lang w:val="ro-MD" w:eastAsia="en-US"/>
                <w14:ligatures w14:val="standardContextual"/>
              </w:rPr>
              <w:t xml:space="preserve"> Băncile pot stabili ca valoarea expunerii să fie zero pentru un set de compensare care îndeplinește cumulativ următoarele condiţii: </w:t>
            </w:r>
          </w:p>
          <w:p w14:paraId="06BAA5FE"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setul de compensare este alcătuit exclusiv din opţiuni vândute; </w:t>
            </w:r>
          </w:p>
          <w:p w14:paraId="417EC0F6"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valoarea curentă de piaţă a setului de compensare este în orice moment negativă; </w:t>
            </w:r>
          </w:p>
          <w:p w14:paraId="36BD8658"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 xml:space="preserve">3) prima pentru toate opţiunile incluse în setul de compensare a fost primită în avans de către bancă pentru a garanta executarea contractelor; </w:t>
            </w:r>
          </w:p>
          <w:p w14:paraId="1FD7A3CE"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4) setul de compensare nu face obiectul niciunui contract în marjă. </w:t>
            </w:r>
          </w:p>
          <w:p w14:paraId="2EB3D467"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36.</w:t>
            </w:r>
            <w:r w:rsidRPr="003B14E9">
              <w:rPr>
                <w:rFonts w:eastAsiaTheme="minorHAnsi"/>
                <w:color w:val="000000"/>
                <w:sz w:val="18"/>
                <w:szCs w:val="18"/>
                <w:lang w:val="ro-MD" w:eastAsia="en-US"/>
                <w14:ligatures w14:val="standardContextual"/>
              </w:rPr>
              <w:t xml:space="preserve"> Într-un set de compensare, băncile înlocuiesc o tranzacţie care este o combinaţie liniară finită de opţiuni call sau put cumpărate sau vândute cu toate opţiunile individuale care formează combinaţia liniară respectivă, privite ca o tranzacţie individuală, pentru a calcula valoarea expunerii setului de compensare în conformitate cu prezenta secţiune. Fiecare combinaţie de opţiuni de acest tip este considerată ca o tranzacţie individuală din setul de compensare în care este inclusă combinaţia pentru a calcula valoarea expunerii. </w:t>
            </w:r>
          </w:p>
          <w:p w14:paraId="43E84098" w14:textId="77777777" w:rsidR="009A7894" w:rsidRPr="003B14E9" w:rsidRDefault="009A7894" w:rsidP="009A7894">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37.</w:t>
            </w:r>
            <w:r w:rsidRPr="003B14E9">
              <w:rPr>
                <w:rFonts w:eastAsiaTheme="minorHAnsi"/>
                <w:color w:val="000000"/>
                <w:sz w:val="18"/>
                <w:szCs w:val="18"/>
                <w:lang w:val="ro-MD" w:eastAsia="en-US"/>
                <w14:ligatures w14:val="standardContextual"/>
              </w:rPr>
              <w:t xml:space="preserve"> Valoarea expunerii unei tranzacţii cu instrumente financiare derivate de credit care reprezintă o poziţie lungă în suport poate fi plafonată la cuantumul primei neplătite restante, cu condiţia ca aceasta să fie tratată drept propriul său set de compensare care nu face obiectul unui contract în marjă.</w:t>
            </w:r>
          </w:p>
          <w:p w14:paraId="2D80C93B" w14:textId="77777777" w:rsidR="009A7894" w:rsidRPr="003B14E9" w:rsidRDefault="009A7894" w:rsidP="009A7894">
            <w:pPr>
              <w:pStyle w:val="NoSpacing"/>
              <w:tabs>
                <w:tab w:val="left" w:pos="328"/>
              </w:tabs>
              <w:jc w:val="both"/>
              <w:rPr>
                <w:rFonts w:ascii="Times New Roman" w:hAnsi="Times New Roman" w:cs="Times New Roman"/>
                <w:b/>
                <w:bCs/>
                <w:sz w:val="18"/>
                <w:szCs w:val="18"/>
                <w:lang w:val="ro-MD"/>
              </w:rPr>
            </w:pPr>
          </w:p>
        </w:tc>
        <w:tc>
          <w:tcPr>
            <w:tcW w:w="1160" w:type="dxa"/>
          </w:tcPr>
          <w:p w14:paraId="40B498FA" w14:textId="4002E481" w:rsidR="009A7894" w:rsidRPr="003B14E9" w:rsidRDefault="009A7894" w:rsidP="009A7894">
            <w:pPr>
              <w:jc w:val="both"/>
              <w:rPr>
                <w:sz w:val="18"/>
                <w:szCs w:val="18"/>
                <w:lang w:val="ro-MD"/>
              </w:rPr>
            </w:pPr>
            <w:r w:rsidRPr="003B14E9">
              <w:rPr>
                <w:sz w:val="18"/>
                <w:szCs w:val="18"/>
                <w:lang w:val="ro-MD"/>
              </w:rPr>
              <w:lastRenderedPageBreak/>
              <w:t xml:space="preserve">Compatibil </w:t>
            </w:r>
          </w:p>
        </w:tc>
        <w:tc>
          <w:tcPr>
            <w:tcW w:w="3041" w:type="dxa"/>
          </w:tcPr>
          <w:p w14:paraId="6B5D7FAA" w14:textId="77777777" w:rsidR="009A7894" w:rsidRPr="003B14E9" w:rsidRDefault="009A7894" w:rsidP="009A7894">
            <w:pPr>
              <w:rPr>
                <w:sz w:val="18"/>
                <w:szCs w:val="18"/>
                <w:highlight w:val="red"/>
                <w:lang w:val="ro-MD"/>
              </w:rPr>
            </w:pPr>
          </w:p>
        </w:tc>
        <w:tc>
          <w:tcPr>
            <w:tcW w:w="1055" w:type="dxa"/>
            <w:tcBorders>
              <w:top w:val="single" w:sz="4" w:space="0" w:color="auto"/>
              <w:bottom w:val="single" w:sz="4" w:space="0" w:color="auto"/>
            </w:tcBorders>
          </w:tcPr>
          <w:p w14:paraId="7CF79C95" w14:textId="77777777" w:rsidR="009A7894" w:rsidRPr="003B14E9" w:rsidRDefault="009A7894" w:rsidP="009A7894">
            <w:pPr>
              <w:jc w:val="both"/>
              <w:rPr>
                <w:sz w:val="18"/>
                <w:szCs w:val="18"/>
                <w:lang w:val="ro-MD"/>
              </w:rPr>
            </w:pPr>
          </w:p>
        </w:tc>
        <w:tc>
          <w:tcPr>
            <w:tcW w:w="1330" w:type="dxa"/>
            <w:tcBorders>
              <w:bottom w:val="single" w:sz="4" w:space="0" w:color="auto"/>
            </w:tcBorders>
          </w:tcPr>
          <w:p w14:paraId="423EFBD6" w14:textId="77777777" w:rsidR="009A7894" w:rsidRPr="003B14E9" w:rsidRDefault="009A7894" w:rsidP="009A7894">
            <w:pPr>
              <w:jc w:val="both"/>
              <w:rPr>
                <w:sz w:val="18"/>
                <w:szCs w:val="18"/>
                <w:lang w:val="ro-MD"/>
              </w:rPr>
            </w:pPr>
          </w:p>
        </w:tc>
      </w:tr>
      <w:tr w:rsidR="00221B89" w:rsidRPr="003B14E9" w14:paraId="468781BE" w14:textId="77777777" w:rsidTr="00604EF1">
        <w:trPr>
          <w:trHeight w:val="918"/>
        </w:trPr>
        <w:tc>
          <w:tcPr>
            <w:tcW w:w="4473" w:type="dxa"/>
          </w:tcPr>
          <w:p w14:paraId="6FA0CCAF" w14:textId="0F141F71" w:rsidR="00221B89" w:rsidRPr="003B14E9" w:rsidRDefault="00221B89" w:rsidP="00221B89">
            <w:pPr>
              <w:pStyle w:val="title-article-norm"/>
              <w:jc w:val="left"/>
              <w:rPr>
                <w:b/>
                <w:bCs/>
                <w:i w:val="0"/>
                <w:sz w:val="18"/>
                <w:szCs w:val="18"/>
              </w:rPr>
            </w:pPr>
            <w:r w:rsidRPr="003B14E9">
              <w:rPr>
                <w:iCs w:val="0"/>
                <w:sz w:val="18"/>
                <w:szCs w:val="18"/>
              </w:rPr>
              <w:lastRenderedPageBreak/>
              <w:t>Articolul 275</w:t>
            </w:r>
            <w:r w:rsidR="00333386" w:rsidRPr="003B14E9">
              <w:rPr>
                <w:iCs w:val="0"/>
                <w:sz w:val="18"/>
                <w:szCs w:val="18"/>
              </w:rPr>
              <w:t xml:space="preserve"> </w:t>
            </w:r>
            <w:r w:rsidRPr="003B14E9">
              <w:rPr>
                <w:b/>
                <w:bCs/>
                <w:i w:val="0"/>
                <w:sz w:val="18"/>
                <w:szCs w:val="18"/>
              </w:rPr>
              <w:t>Costul de înlocuire</w:t>
            </w:r>
          </w:p>
          <w:p w14:paraId="06D94FA3" w14:textId="77777777" w:rsidR="00221B89" w:rsidRPr="003B14E9" w:rsidRDefault="00221B89" w:rsidP="00221B89">
            <w:pPr>
              <w:pStyle w:val="title-article-norm"/>
              <w:jc w:val="left"/>
              <w:rPr>
                <w:i w:val="0"/>
                <w:sz w:val="18"/>
                <w:szCs w:val="18"/>
              </w:rPr>
            </w:pPr>
            <w:r w:rsidRPr="003B14E9">
              <w:rPr>
                <w:i w:val="0"/>
                <w:sz w:val="18"/>
                <w:szCs w:val="18"/>
              </w:rPr>
              <w:t>(1) Instituţiile calculează costul de înlocuire RC pentru seturile de compensare care nu fac obiectul unui contract în marjă în conformitate cu următoarea formulă:</w:t>
            </w:r>
          </w:p>
          <w:p w14:paraId="59D0CFA5" w14:textId="77777777" w:rsidR="00221B89" w:rsidRPr="003B14E9" w:rsidRDefault="00221B89" w:rsidP="00221B89">
            <w:pPr>
              <w:pStyle w:val="title-article-norm"/>
              <w:rPr>
                <w:i w:val="0"/>
                <w:sz w:val="18"/>
                <w:szCs w:val="18"/>
              </w:rPr>
            </w:pPr>
            <w:r w:rsidRPr="003B14E9">
              <w:rPr>
                <w:i w:val="0"/>
                <w:sz w:val="18"/>
                <w:szCs w:val="18"/>
              </w:rPr>
              <w:t>RC = max{CMV – NICA, 0}</w:t>
            </w:r>
          </w:p>
          <w:p w14:paraId="3ABAC5F5" w14:textId="77777777" w:rsidR="00221B89" w:rsidRPr="003B14E9" w:rsidRDefault="00221B89" w:rsidP="00221B89">
            <w:pPr>
              <w:pStyle w:val="title-article-norm"/>
              <w:jc w:val="left"/>
              <w:rPr>
                <w:i w:val="0"/>
                <w:sz w:val="18"/>
                <w:szCs w:val="18"/>
              </w:rPr>
            </w:pPr>
            <w:r w:rsidRPr="003B14E9">
              <w:rPr>
                <w:i w:val="0"/>
                <w:sz w:val="18"/>
                <w:szCs w:val="18"/>
              </w:rPr>
              <w:t>(2) Instituţiile calculează costul de înlocuire pentru seturile de compensare individuale care fac obiectul unui contract în marjă în conformitate cu următoarea formulă:</w:t>
            </w:r>
          </w:p>
          <w:p w14:paraId="2A4919C1" w14:textId="77777777" w:rsidR="00221B89" w:rsidRPr="003B14E9" w:rsidRDefault="00221B89" w:rsidP="00221B89">
            <w:pPr>
              <w:pStyle w:val="title-article-norm"/>
              <w:jc w:val="left"/>
              <w:rPr>
                <w:i w:val="0"/>
                <w:sz w:val="18"/>
                <w:szCs w:val="18"/>
              </w:rPr>
            </w:pPr>
            <w:r w:rsidRPr="003B14E9">
              <w:rPr>
                <w:i w:val="0"/>
                <w:sz w:val="18"/>
                <w:szCs w:val="18"/>
              </w:rPr>
              <w:t>RC = max{CMV – VM - NICA, TH + MTA – NICA, 0}</w:t>
            </w:r>
          </w:p>
          <w:p w14:paraId="516DBB1B" w14:textId="77777777" w:rsidR="00221B89" w:rsidRPr="003B14E9" w:rsidRDefault="00221B89" w:rsidP="00221B89">
            <w:pPr>
              <w:pStyle w:val="title-article-norm"/>
              <w:jc w:val="left"/>
              <w:rPr>
                <w:i w:val="0"/>
                <w:sz w:val="18"/>
                <w:szCs w:val="18"/>
              </w:rPr>
            </w:pPr>
            <w:r w:rsidRPr="003B14E9">
              <w:rPr>
                <w:i w:val="0"/>
                <w:sz w:val="18"/>
                <w:szCs w:val="18"/>
              </w:rPr>
              <w:t>unde:</w:t>
            </w:r>
          </w:p>
          <w:p w14:paraId="79AFEB46" w14:textId="77777777" w:rsidR="00221B89" w:rsidRPr="003B14E9" w:rsidRDefault="00221B89" w:rsidP="00221B89">
            <w:pPr>
              <w:pStyle w:val="title-article-norm"/>
              <w:jc w:val="left"/>
              <w:rPr>
                <w:i w:val="0"/>
                <w:sz w:val="18"/>
                <w:szCs w:val="18"/>
              </w:rPr>
            </w:pPr>
            <w:r w:rsidRPr="003B14E9">
              <w:rPr>
                <w:i w:val="0"/>
                <w:sz w:val="18"/>
                <w:szCs w:val="18"/>
              </w:rPr>
              <w:t>RC = costul de înlocuire;</w:t>
            </w:r>
          </w:p>
          <w:p w14:paraId="6CE1CEEB" w14:textId="77777777" w:rsidR="00221B89" w:rsidRPr="003B14E9" w:rsidRDefault="00221B89" w:rsidP="00221B89">
            <w:pPr>
              <w:pStyle w:val="title-article-norm"/>
              <w:jc w:val="left"/>
              <w:rPr>
                <w:i w:val="0"/>
                <w:sz w:val="18"/>
                <w:szCs w:val="18"/>
              </w:rPr>
            </w:pPr>
            <w:r w:rsidRPr="003B14E9">
              <w:rPr>
                <w:i w:val="0"/>
                <w:sz w:val="18"/>
                <w:szCs w:val="18"/>
              </w:rPr>
              <w:t>VM = valoarea ajustată în funcţie de volatilitate a marjei de variaţie nete primite sau furnizate, după caz, pentru setul de compensare în mod regulat pentru a atenua variaţiile valorii de piaţă curente a setului de compensare;</w:t>
            </w:r>
          </w:p>
          <w:p w14:paraId="2DCBFC31" w14:textId="77777777" w:rsidR="00221B89" w:rsidRPr="003B14E9" w:rsidRDefault="00221B89" w:rsidP="00221B89">
            <w:pPr>
              <w:pStyle w:val="title-article-norm"/>
              <w:jc w:val="left"/>
              <w:rPr>
                <w:i w:val="0"/>
                <w:sz w:val="18"/>
                <w:szCs w:val="18"/>
              </w:rPr>
            </w:pPr>
            <w:r w:rsidRPr="003B14E9">
              <w:rPr>
                <w:i w:val="0"/>
                <w:sz w:val="18"/>
                <w:szCs w:val="18"/>
              </w:rPr>
              <w:lastRenderedPageBreak/>
              <w:t>TH = pragul de marjă aplicabil setului de compensare conform contractului în marjă sub care instituţia nu poate solicita garanţii reale; și</w:t>
            </w:r>
          </w:p>
          <w:p w14:paraId="0596B028" w14:textId="77777777" w:rsidR="00221B89" w:rsidRPr="003B14E9" w:rsidRDefault="00221B89" w:rsidP="00221B89">
            <w:pPr>
              <w:pStyle w:val="title-article-norm"/>
              <w:jc w:val="left"/>
              <w:rPr>
                <w:i w:val="0"/>
                <w:sz w:val="18"/>
                <w:szCs w:val="18"/>
              </w:rPr>
            </w:pPr>
            <w:r w:rsidRPr="003B14E9">
              <w:rPr>
                <w:i w:val="0"/>
                <w:sz w:val="18"/>
                <w:szCs w:val="18"/>
              </w:rPr>
              <w:t>MTA = suma minimă de transfer aplicabilă setului de compensare conform contractului în marjă.</w:t>
            </w:r>
          </w:p>
          <w:p w14:paraId="00F0A588" w14:textId="77777777" w:rsidR="00221B89" w:rsidRPr="003B14E9" w:rsidRDefault="00221B89" w:rsidP="00221B89">
            <w:pPr>
              <w:pStyle w:val="title-article-norm"/>
              <w:jc w:val="left"/>
              <w:rPr>
                <w:i w:val="0"/>
                <w:sz w:val="18"/>
                <w:szCs w:val="18"/>
              </w:rPr>
            </w:pPr>
            <w:r w:rsidRPr="003B14E9">
              <w:rPr>
                <w:i w:val="0"/>
                <w:sz w:val="18"/>
                <w:szCs w:val="18"/>
              </w:rPr>
              <w:t xml:space="preserve">(3) Instituţiile calculează costul de înlocuire pentru seturile de compensare multiple care fac obiectul aceluiași contract în marjă în conformitate cu următoarea formulă: </w:t>
            </w:r>
          </w:p>
          <w:p w14:paraId="2B0B1252" w14:textId="77777777" w:rsidR="00221B89" w:rsidRPr="003B14E9" w:rsidRDefault="00221B89" w:rsidP="00221B89">
            <w:pPr>
              <w:pStyle w:val="title-article-norm"/>
              <w:jc w:val="left"/>
              <w:rPr>
                <w:i w:val="0"/>
                <w:sz w:val="18"/>
                <w:szCs w:val="18"/>
              </w:rPr>
            </w:pPr>
            <w:r w:rsidRPr="003B14E9">
              <w:rPr>
                <w:i w:val="0"/>
                <w:noProof/>
                <w:sz w:val="18"/>
                <w:szCs w:val="18"/>
              </w:rPr>
              <w:drawing>
                <wp:inline distT="0" distB="0" distL="0" distR="0" wp14:anchorId="73E38328" wp14:editId="7A2B8AB7">
                  <wp:extent cx="2654455" cy="49170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6202" cy="519815"/>
                          </a:xfrm>
                          <a:prstGeom prst="rect">
                            <a:avLst/>
                          </a:prstGeom>
                          <a:noFill/>
                        </pic:spPr>
                      </pic:pic>
                    </a:graphicData>
                  </a:graphic>
                </wp:inline>
              </w:drawing>
            </w:r>
          </w:p>
          <w:p w14:paraId="62CAAB4E" w14:textId="77777777" w:rsidR="00221B89" w:rsidRPr="003B14E9" w:rsidRDefault="00221B89" w:rsidP="00221B89">
            <w:pPr>
              <w:pStyle w:val="title-article-norm"/>
              <w:jc w:val="left"/>
              <w:rPr>
                <w:i w:val="0"/>
                <w:sz w:val="18"/>
                <w:szCs w:val="18"/>
                <w:lang w:val="ro-MD"/>
              </w:rPr>
            </w:pPr>
            <w:r w:rsidRPr="003B14E9">
              <w:rPr>
                <w:i w:val="0"/>
                <w:sz w:val="18"/>
                <w:szCs w:val="18"/>
                <w:lang w:val="ro-MD"/>
              </w:rPr>
              <w:t>unde:</w:t>
            </w:r>
          </w:p>
          <w:p w14:paraId="141ABAAC" w14:textId="77777777" w:rsidR="00221B89" w:rsidRPr="003B14E9" w:rsidRDefault="00221B89" w:rsidP="00221B89">
            <w:pPr>
              <w:pStyle w:val="title-article-norm"/>
              <w:jc w:val="left"/>
              <w:rPr>
                <w:i w:val="0"/>
                <w:sz w:val="18"/>
                <w:szCs w:val="18"/>
              </w:rPr>
            </w:pPr>
            <w:r w:rsidRPr="003B14E9">
              <w:rPr>
                <w:i w:val="0"/>
                <w:sz w:val="18"/>
                <w:szCs w:val="18"/>
              </w:rPr>
              <w:t>RC = costul de înlocuire;</w:t>
            </w:r>
          </w:p>
          <w:p w14:paraId="607826DC" w14:textId="77777777" w:rsidR="00221B89" w:rsidRPr="003B14E9" w:rsidRDefault="00221B89" w:rsidP="00221B89">
            <w:pPr>
              <w:pStyle w:val="title-article-norm"/>
              <w:jc w:val="left"/>
              <w:rPr>
                <w:i w:val="0"/>
                <w:sz w:val="18"/>
                <w:szCs w:val="18"/>
              </w:rPr>
            </w:pPr>
            <w:r w:rsidRPr="003B14E9">
              <w:rPr>
                <w:i w:val="0"/>
                <w:sz w:val="18"/>
                <w:szCs w:val="18"/>
              </w:rPr>
              <w:t>i = indicele care desemnează seturile de compensare care fac obiectul contractului în marjă individual;</w:t>
            </w:r>
          </w:p>
          <w:p w14:paraId="7C779F9C" w14:textId="77777777" w:rsidR="00221B89" w:rsidRPr="003B14E9" w:rsidRDefault="00221B89" w:rsidP="00221B89">
            <w:pPr>
              <w:pStyle w:val="title-article-norm"/>
              <w:jc w:val="left"/>
              <w:rPr>
                <w:i w:val="0"/>
                <w:sz w:val="18"/>
                <w:szCs w:val="18"/>
              </w:rPr>
            </w:pPr>
            <w:r w:rsidRPr="003B14E9">
              <w:rPr>
                <w:i w:val="0"/>
                <w:sz w:val="18"/>
                <w:szCs w:val="18"/>
              </w:rPr>
              <w:t>CMV i = valoarea de piaţă curentă a setului de compensare i;</w:t>
            </w:r>
          </w:p>
          <w:p w14:paraId="14330DC6" w14:textId="77777777" w:rsidR="00221B89" w:rsidRPr="003B14E9" w:rsidRDefault="00221B89" w:rsidP="00221B89">
            <w:pPr>
              <w:pStyle w:val="title-article-norm"/>
              <w:jc w:val="left"/>
              <w:rPr>
                <w:i w:val="0"/>
                <w:sz w:val="18"/>
                <w:szCs w:val="18"/>
              </w:rPr>
            </w:pPr>
            <w:r w:rsidRPr="003B14E9">
              <w:rPr>
                <w:i w:val="0"/>
                <w:sz w:val="18"/>
                <w:szCs w:val="18"/>
              </w:rPr>
              <w:t xml:space="preserve">VM </w:t>
            </w:r>
            <w:r w:rsidRPr="003B14E9">
              <w:rPr>
                <w:i w:val="0"/>
                <w:sz w:val="18"/>
                <w:szCs w:val="18"/>
                <w:vertAlign w:val="subscript"/>
              </w:rPr>
              <w:t>MA</w:t>
            </w:r>
            <w:r w:rsidRPr="003B14E9">
              <w:rPr>
                <w:i w:val="0"/>
                <w:sz w:val="18"/>
                <w:szCs w:val="18"/>
              </w:rPr>
              <w:t xml:space="preserve"> = suma valorilor ajustate în funcţie de volatilitate ale garanţiilor reale primite sau furnizate, după caz, pentru seturi de compensare multiple în mod regulat cu scopul de a atenua variaţiile valorii de piaţă curente a acestora; și</w:t>
            </w:r>
          </w:p>
          <w:p w14:paraId="05A42034" w14:textId="77777777" w:rsidR="00221B89" w:rsidRPr="003B14E9" w:rsidRDefault="00221B89" w:rsidP="00221B89">
            <w:pPr>
              <w:pStyle w:val="title-article-norm"/>
              <w:jc w:val="left"/>
              <w:rPr>
                <w:i w:val="0"/>
                <w:sz w:val="18"/>
                <w:szCs w:val="18"/>
              </w:rPr>
            </w:pPr>
            <w:r w:rsidRPr="003B14E9">
              <w:rPr>
                <w:i w:val="0"/>
                <w:sz w:val="18"/>
                <w:szCs w:val="18"/>
              </w:rPr>
              <w:lastRenderedPageBreak/>
              <w:t xml:space="preserve">NICA </w:t>
            </w:r>
            <w:r w:rsidRPr="003B14E9">
              <w:rPr>
                <w:i w:val="0"/>
                <w:sz w:val="18"/>
                <w:szCs w:val="18"/>
                <w:vertAlign w:val="subscript"/>
              </w:rPr>
              <w:t xml:space="preserve">MA </w:t>
            </w:r>
            <w:r w:rsidRPr="003B14E9">
              <w:rPr>
                <w:i w:val="0"/>
                <w:sz w:val="18"/>
                <w:szCs w:val="18"/>
              </w:rPr>
              <w:t xml:space="preserve">= suma valorilor ajustate în funcţie de volatilitate ale garanţiilor reale primite sau furnizate, după caz, pentru seturi de compensare multiple, altele decât VM </w:t>
            </w:r>
            <w:r w:rsidRPr="003B14E9">
              <w:rPr>
                <w:i w:val="0"/>
                <w:sz w:val="18"/>
                <w:szCs w:val="18"/>
                <w:vertAlign w:val="subscript"/>
              </w:rPr>
              <w:t>MA .</w:t>
            </w:r>
          </w:p>
          <w:p w14:paraId="21D006EE" w14:textId="04741202" w:rsidR="00221B89" w:rsidRPr="003B14E9" w:rsidRDefault="00221B89" w:rsidP="00221B89">
            <w:pPr>
              <w:pStyle w:val="title-article-norm"/>
              <w:jc w:val="both"/>
              <w:rPr>
                <w:i w:val="0"/>
                <w:sz w:val="18"/>
                <w:szCs w:val="18"/>
                <w:lang w:val="ro-MD"/>
              </w:rPr>
            </w:pPr>
            <w:r w:rsidRPr="003B14E9">
              <w:rPr>
                <w:i w:val="0"/>
                <w:sz w:val="18"/>
                <w:szCs w:val="18"/>
              </w:rPr>
              <w:t xml:space="preserve">În sensul primului paragraf, NICA </w:t>
            </w:r>
            <w:r w:rsidRPr="003B14E9">
              <w:rPr>
                <w:i w:val="0"/>
                <w:sz w:val="18"/>
                <w:szCs w:val="18"/>
                <w:vertAlign w:val="subscript"/>
              </w:rPr>
              <w:t>MA</w:t>
            </w:r>
            <w:r w:rsidRPr="003B14E9">
              <w:rPr>
                <w:i w:val="0"/>
                <w:sz w:val="18"/>
                <w:szCs w:val="18"/>
              </w:rPr>
              <w:t xml:space="preserve"> poate fi calculată la nivel de tranzacţie, la nivel de set de compensare sau la nivelul tuturor seturilor de compensare cărora li se aplică contractul în marjă, în funcţie de nivelul la care se aplică acesta.</w:t>
            </w:r>
          </w:p>
        </w:tc>
        <w:tc>
          <w:tcPr>
            <w:tcW w:w="4425" w:type="dxa"/>
            <w:shd w:val="clear" w:color="auto" w:fill="auto"/>
          </w:tcPr>
          <w:p w14:paraId="737591FA" w14:textId="77777777" w:rsidR="00221B89" w:rsidRPr="003B14E9" w:rsidRDefault="00221B89" w:rsidP="00221B89">
            <w:pPr>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i/>
                <w:iCs/>
                <w:color w:val="000000"/>
                <w:sz w:val="18"/>
                <w:szCs w:val="18"/>
                <w:lang w:val="ro-MD" w:eastAsia="en-US"/>
                <w14:ligatures w14:val="standardContextual"/>
              </w:rPr>
              <w:lastRenderedPageBreak/>
              <w:t>Secțiunea a 2-a</w:t>
            </w:r>
          </w:p>
          <w:p w14:paraId="006E1BA3" w14:textId="77777777" w:rsidR="00221B89" w:rsidRPr="003B14E9" w:rsidRDefault="00221B89" w:rsidP="00221B89">
            <w:pPr>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Costul de înlocuire</w:t>
            </w:r>
          </w:p>
          <w:p w14:paraId="1B26DA6A"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38.</w:t>
            </w:r>
            <w:r w:rsidRPr="003B14E9">
              <w:rPr>
                <w:rFonts w:eastAsiaTheme="minorHAnsi"/>
                <w:color w:val="000000"/>
                <w:sz w:val="18"/>
                <w:szCs w:val="18"/>
                <w:lang w:val="ro-MD" w:eastAsia="en-US"/>
                <w14:ligatures w14:val="standardContextual"/>
              </w:rPr>
              <w:t xml:space="preserve"> Băncile calculează costul de înlocuire RC pentru seturile de compensare care nu fac obiectul unui contract în marjă în conformitate cu următoarea formulă: </w:t>
            </w:r>
          </w:p>
          <w:p w14:paraId="3C95CFB4" w14:textId="77777777" w:rsidR="00221B89" w:rsidRPr="003B14E9" w:rsidRDefault="00221B89" w:rsidP="00221B89">
            <w:pPr>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RC = max{CMV – NICA, 0}</w:t>
            </w:r>
          </w:p>
          <w:p w14:paraId="5A4DFE66"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39.</w:t>
            </w:r>
            <w:r w:rsidRPr="003B14E9">
              <w:rPr>
                <w:rFonts w:eastAsiaTheme="minorHAnsi"/>
                <w:color w:val="000000"/>
                <w:sz w:val="18"/>
                <w:szCs w:val="18"/>
                <w:lang w:val="ro-MD" w:eastAsia="en-US"/>
                <w14:ligatures w14:val="standardContextual"/>
              </w:rPr>
              <w:t xml:space="preserve"> Băncile calculează costul de înlocuire pentru seturile de compensare individuale care fac obiectul unui contract în marjă în conformitate cu următoarea formulă: </w:t>
            </w:r>
          </w:p>
          <w:p w14:paraId="7D2574A7" w14:textId="77777777" w:rsidR="00221B89" w:rsidRPr="003B14E9" w:rsidRDefault="00221B89" w:rsidP="00221B89">
            <w:pPr>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RC = max{CMV – VM - NICA, TH + MTA – NICA, 0}</w:t>
            </w:r>
          </w:p>
          <w:p w14:paraId="20F93690"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13AEEA96"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RC = costul de înlocuire; </w:t>
            </w:r>
          </w:p>
          <w:p w14:paraId="386A3FC7"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VM = valoarea ajustată în funcţie de volatilitate a marjei de variaţie nete primite sau furnizate, după caz, pentru setul de compensare în mod regulat pentru a atenua variaţiile valorii de piaţă curente a setului de compensare; </w:t>
            </w:r>
          </w:p>
          <w:p w14:paraId="5F1D937A"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TH = pragul de marjă aplicabil setului de compensare conform contractului în marjă sub care banca nu poate solicita garanţii reale; și </w:t>
            </w:r>
          </w:p>
          <w:p w14:paraId="0CAF9587"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MTA = suma minimă de transfer aplicabilă setului de compensare conform contractului în marjă. </w:t>
            </w:r>
          </w:p>
          <w:p w14:paraId="4708063A"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40.</w:t>
            </w:r>
            <w:r w:rsidRPr="003B14E9">
              <w:rPr>
                <w:rFonts w:eastAsiaTheme="minorHAnsi"/>
                <w:color w:val="000000"/>
                <w:sz w:val="18"/>
                <w:szCs w:val="18"/>
                <w:lang w:val="ro-MD" w:eastAsia="en-US"/>
                <w14:ligatures w14:val="standardContextual"/>
              </w:rPr>
              <w:t xml:space="preserve"> Banca calculează costul de înlocuire pentru seturile de compensare multiple care fac obiectul aceluiași contract în marjă în conformitate cu următoarea formulă: </w:t>
            </w:r>
          </w:p>
          <w:p w14:paraId="19E3C307" w14:textId="77777777" w:rsidR="00221B89" w:rsidRPr="003B14E9" w:rsidRDefault="00221B89" w:rsidP="00221B89">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lastRenderedPageBreak/>
              <w:drawing>
                <wp:inline distT="0" distB="0" distL="0" distR="0" wp14:anchorId="39E5AD09" wp14:editId="3B2C0D88">
                  <wp:extent cx="2591159" cy="209550"/>
                  <wp:effectExtent l="0" t="0" r="0" b="0"/>
                  <wp:docPr id="185388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2655" cy="214523"/>
                          </a:xfrm>
                          <a:prstGeom prst="rect">
                            <a:avLst/>
                          </a:prstGeom>
                          <a:noFill/>
                        </pic:spPr>
                      </pic:pic>
                    </a:graphicData>
                  </a:graphic>
                </wp:inline>
              </w:drawing>
            </w:r>
          </w:p>
          <w:p w14:paraId="51BDA2DB"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731D980D"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RC = costul de înlocuire; </w:t>
            </w:r>
          </w:p>
          <w:p w14:paraId="515F2B86"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i = indicele care desemnează seturile de compensare care fac obiectul contractului în marjă individual; </w:t>
            </w:r>
          </w:p>
          <w:p w14:paraId="4B1596CF"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CMVi = valoarea de piaţă curentă a setului de compensare i; </w:t>
            </w:r>
          </w:p>
          <w:p w14:paraId="164768F4"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VM</w:t>
            </w:r>
            <w:r w:rsidRPr="003B14E9">
              <w:rPr>
                <w:rFonts w:eastAsiaTheme="minorHAnsi"/>
                <w:color w:val="000000"/>
                <w:sz w:val="18"/>
                <w:szCs w:val="18"/>
                <w:vertAlign w:val="subscript"/>
                <w:lang w:val="ro-MD" w:eastAsia="en-US"/>
                <w14:ligatures w14:val="standardContextual"/>
              </w:rPr>
              <w:t>MA</w:t>
            </w:r>
            <w:r w:rsidRPr="003B14E9">
              <w:rPr>
                <w:rFonts w:eastAsiaTheme="minorHAnsi"/>
                <w:color w:val="000000"/>
                <w:sz w:val="18"/>
                <w:szCs w:val="18"/>
                <w:lang w:val="ro-MD" w:eastAsia="en-US"/>
                <w14:ligatures w14:val="standardContextual"/>
              </w:rPr>
              <w:t xml:space="preserve"> = suma valorilor ajustate în funcţie de volatilitate ale garanţiilor reale primite sau furnizate, după caz, pentru seturi de compensare multiple în mod regulat cu scopul de a atenua variaţiile valorii de piaţă curente a acestora; și </w:t>
            </w:r>
          </w:p>
          <w:p w14:paraId="4C9225BE"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NICA</w:t>
            </w:r>
            <w:r w:rsidRPr="003B14E9">
              <w:rPr>
                <w:rFonts w:eastAsiaTheme="minorHAnsi"/>
                <w:color w:val="000000"/>
                <w:sz w:val="18"/>
                <w:szCs w:val="18"/>
                <w:vertAlign w:val="subscript"/>
                <w:lang w:val="ro-MD" w:eastAsia="en-US"/>
                <w14:ligatures w14:val="standardContextual"/>
              </w:rPr>
              <w:t xml:space="preserve">MA </w:t>
            </w:r>
            <w:r w:rsidRPr="003B14E9">
              <w:rPr>
                <w:rFonts w:eastAsiaTheme="minorHAnsi"/>
                <w:color w:val="000000"/>
                <w:sz w:val="18"/>
                <w:szCs w:val="18"/>
                <w:lang w:val="ro-MD" w:eastAsia="en-US"/>
                <w14:ligatures w14:val="standardContextual"/>
              </w:rPr>
              <w:t>= suma valorilor ajustate în funcţie de volatilitate ale garanţiilor reale primite sau furnizate, după caz, pentru seturi de compensare multiple, altele decât VM</w:t>
            </w:r>
            <w:r w:rsidRPr="003B14E9">
              <w:rPr>
                <w:rFonts w:eastAsiaTheme="minorHAnsi"/>
                <w:color w:val="000000"/>
                <w:sz w:val="18"/>
                <w:szCs w:val="18"/>
                <w:vertAlign w:val="subscript"/>
                <w:lang w:val="ro-MD" w:eastAsia="en-US"/>
                <w14:ligatures w14:val="standardContextual"/>
              </w:rPr>
              <w:t>MA</w:t>
            </w:r>
            <w:r w:rsidRPr="003B14E9">
              <w:rPr>
                <w:rFonts w:eastAsiaTheme="minorHAnsi"/>
                <w:color w:val="000000"/>
                <w:sz w:val="18"/>
                <w:szCs w:val="18"/>
                <w:lang w:val="ro-MD" w:eastAsia="en-US"/>
                <w14:ligatures w14:val="standardContextual"/>
              </w:rPr>
              <w:t xml:space="preserve"> . </w:t>
            </w:r>
          </w:p>
          <w:p w14:paraId="1DBEC058" w14:textId="77777777" w:rsidR="00221B89" w:rsidRPr="003B14E9" w:rsidRDefault="00221B89" w:rsidP="00221B89">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În sensul prezentului punct, NICA</w:t>
            </w:r>
            <w:r w:rsidRPr="003B14E9">
              <w:rPr>
                <w:rFonts w:eastAsiaTheme="minorHAnsi"/>
                <w:color w:val="000000"/>
                <w:sz w:val="18"/>
                <w:szCs w:val="18"/>
                <w:vertAlign w:val="subscript"/>
                <w:lang w:val="ro-MD" w:eastAsia="en-US"/>
                <w14:ligatures w14:val="standardContextual"/>
              </w:rPr>
              <w:t xml:space="preserve">MA </w:t>
            </w:r>
            <w:r w:rsidRPr="003B14E9">
              <w:rPr>
                <w:rFonts w:eastAsiaTheme="minorHAnsi"/>
                <w:color w:val="000000"/>
                <w:sz w:val="18"/>
                <w:szCs w:val="18"/>
                <w:lang w:val="ro-MD" w:eastAsia="en-US"/>
                <w14:ligatures w14:val="standardContextual"/>
              </w:rPr>
              <w:t xml:space="preserve">poate fi calculată la nivel de tranzacţie, la nivel de set de compensare sau la nivelul tuturor seturilor de compensare cărora li se aplică contractul în marjă, în funcţie de nivelul la care se aplică acesta. </w:t>
            </w:r>
          </w:p>
          <w:p w14:paraId="44A69AC6" w14:textId="77777777" w:rsidR="00221B89" w:rsidRPr="003B14E9" w:rsidRDefault="00221B89" w:rsidP="00221B89">
            <w:pPr>
              <w:pStyle w:val="NoSpacing"/>
              <w:tabs>
                <w:tab w:val="left" w:pos="328"/>
              </w:tabs>
              <w:jc w:val="both"/>
              <w:rPr>
                <w:rFonts w:ascii="Times New Roman" w:hAnsi="Times New Roman" w:cs="Times New Roman"/>
                <w:b/>
                <w:bCs/>
                <w:sz w:val="18"/>
                <w:szCs w:val="18"/>
                <w:lang w:val="ro-MD"/>
              </w:rPr>
            </w:pPr>
          </w:p>
        </w:tc>
        <w:tc>
          <w:tcPr>
            <w:tcW w:w="1160" w:type="dxa"/>
          </w:tcPr>
          <w:p w14:paraId="468C6E41" w14:textId="240FFD63" w:rsidR="00221B89" w:rsidRPr="003B14E9" w:rsidRDefault="00221B89" w:rsidP="00221B89">
            <w:pPr>
              <w:jc w:val="both"/>
              <w:rPr>
                <w:sz w:val="18"/>
                <w:szCs w:val="18"/>
                <w:lang w:val="ro-MD"/>
              </w:rPr>
            </w:pPr>
            <w:r w:rsidRPr="003B14E9">
              <w:rPr>
                <w:sz w:val="18"/>
                <w:szCs w:val="18"/>
                <w:lang w:val="ro-MD"/>
              </w:rPr>
              <w:lastRenderedPageBreak/>
              <w:t>Compatibil</w:t>
            </w:r>
          </w:p>
        </w:tc>
        <w:tc>
          <w:tcPr>
            <w:tcW w:w="3041" w:type="dxa"/>
          </w:tcPr>
          <w:p w14:paraId="146E82AA" w14:textId="77777777" w:rsidR="00221B89" w:rsidRPr="003B14E9" w:rsidRDefault="00221B89" w:rsidP="00221B89">
            <w:pPr>
              <w:rPr>
                <w:sz w:val="18"/>
                <w:szCs w:val="18"/>
                <w:highlight w:val="red"/>
                <w:lang w:val="ro-MD"/>
              </w:rPr>
            </w:pPr>
          </w:p>
        </w:tc>
        <w:tc>
          <w:tcPr>
            <w:tcW w:w="1055" w:type="dxa"/>
            <w:tcBorders>
              <w:top w:val="single" w:sz="4" w:space="0" w:color="auto"/>
              <w:bottom w:val="single" w:sz="4" w:space="0" w:color="auto"/>
            </w:tcBorders>
          </w:tcPr>
          <w:p w14:paraId="6E977F6F" w14:textId="77777777" w:rsidR="00221B89" w:rsidRPr="003B14E9" w:rsidRDefault="00221B89" w:rsidP="00221B89">
            <w:pPr>
              <w:jc w:val="both"/>
              <w:rPr>
                <w:sz w:val="18"/>
                <w:szCs w:val="18"/>
                <w:lang w:val="ro-MD"/>
              </w:rPr>
            </w:pPr>
          </w:p>
        </w:tc>
        <w:tc>
          <w:tcPr>
            <w:tcW w:w="1330" w:type="dxa"/>
            <w:tcBorders>
              <w:bottom w:val="single" w:sz="4" w:space="0" w:color="auto"/>
            </w:tcBorders>
          </w:tcPr>
          <w:p w14:paraId="4500B0B2" w14:textId="77777777" w:rsidR="00221B89" w:rsidRPr="003B14E9" w:rsidRDefault="00221B89" w:rsidP="00221B89">
            <w:pPr>
              <w:jc w:val="both"/>
              <w:rPr>
                <w:sz w:val="18"/>
                <w:szCs w:val="18"/>
                <w:lang w:val="ro-MD"/>
              </w:rPr>
            </w:pPr>
          </w:p>
        </w:tc>
      </w:tr>
      <w:tr w:rsidR="00221B89" w:rsidRPr="003B14E9" w14:paraId="2CD8523F" w14:textId="77777777" w:rsidTr="00604EF1">
        <w:trPr>
          <w:trHeight w:val="918"/>
        </w:trPr>
        <w:tc>
          <w:tcPr>
            <w:tcW w:w="4473" w:type="dxa"/>
          </w:tcPr>
          <w:p w14:paraId="2A4F8F0F" w14:textId="12819FB3" w:rsidR="00221B89" w:rsidRPr="003B14E9" w:rsidRDefault="00221B89" w:rsidP="00221B89">
            <w:pPr>
              <w:pStyle w:val="title-article-norm"/>
              <w:jc w:val="left"/>
              <w:rPr>
                <w:b/>
                <w:bCs/>
                <w:i w:val="0"/>
                <w:sz w:val="18"/>
                <w:szCs w:val="18"/>
              </w:rPr>
            </w:pPr>
            <w:r w:rsidRPr="003B14E9">
              <w:rPr>
                <w:iCs w:val="0"/>
                <w:sz w:val="18"/>
                <w:szCs w:val="18"/>
              </w:rPr>
              <w:lastRenderedPageBreak/>
              <w:t>Articolul 276</w:t>
            </w:r>
            <w:r w:rsidR="00415A32" w:rsidRPr="003B14E9">
              <w:rPr>
                <w:iCs w:val="0"/>
                <w:sz w:val="18"/>
                <w:szCs w:val="18"/>
              </w:rPr>
              <w:t xml:space="preserve"> </w:t>
            </w:r>
            <w:r w:rsidRPr="003B14E9">
              <w:rPr>
                <w:b/>
                <w:bCs/>
                <w:i w:val="0"/>
                <w:sz w:val="18"/>
                <w:szCs w:val="18"/>
              </w:rPr>
              <w:t>Recunoașterea și tratamentul aplicat garanţiilor reale</w:t>
            </w:r>
          </w:p>
          <w:p w14:paraId="492FFDFA" w14:textId="77777777" w:rsidR="00221B89" w:rsidRPr="003B14E9" w:rsidRDefault="00221B89" w:rsidP="00221B89">
            <w:pPr>
              <w:pStyle w:val="title-article-norm"/>
              <w:jc w:val="left"/>
              <w:rPr>
                <w:i w:val="0"/>
                <w:sz w:val="18"/>
                <w:szCs w:val="18"/>
              </w:rPr>
            </w:pPr>
            <w:r w:rsidRPr="003B14E9">
              <w:rPr>
                <w:i w:val="0"/>
                <w:sz w:val="18"/>
                <w:szCs w:val="18"/>
              </w:rPr>
              <w:t>(1) În sensul prezentei secţiuni, instituţiile calculează valoarea garanţiilor reale aferente VM, VM</w:t>
            </w:r>
            <w:r w:rsidRPr="003B14E9">
              <w:rPr>
                <w:i w:val="0"/>
                <w:sz w:val="18"/>
                <w:szCs w:val="18"/>
                <w:vertAlign w:val="subscript"/>
              </w:rPr>
              <w:t>MA</w:t>
            </w:r>
            <w:r w:rsidRPr="003B14E9">
              <w:rPr>
                <w:i w:val="0"/>
                <w:sz w:val="18"/>
                <w:szCs w:val="18"/>
              </w:rPr>
              <w:t xml:space="preserve"> , NICA și NICA</w:t>
            </w:r>
            <w:r w:rsidRPr="003B14E9">
              <w:rPr>
                <w:i w:val="0"/>
                <w:sz w:val="18"/>
                <w:szCs w:val="18"/>
                <w:vertAlign w:val="subscript"/>
              </w:rPr>
              <w:t>MA</w:t>
            </w:r>
            <w:r w:rsidRPr="003B14E9">
              <w:rPr>
                <w:i w:val="0"/>
                <w:sz w:val="18"/>
                <w:szCs w:val="18"/>
              </w:rPr>
              <w:t xml:space="preserve"> , prin aplicarea tuturor cerinţelor următoare:</w:t>
            </w:r>
          </w:p>
          <w:p w14:paraId="512F3D41" w14:textId="77777777" w:rsidR="00221B89" w:rsidRPr="003B14E9" w:rsidRDefault="00221B89" w:rsidP="00221B89">
            <w:pPr>
              <w:pStyle w:val="title-article-norm"/>
              <w:jc w:val="left"/>
              <w:rPr>
                <w:i w:val="0"/>
                <w:sz w:val="18"/>
                <w:szCs w:val="18"/>
              </w:rPr>
            </w:pPr>
            <w:r w:rsidRPr="003B14E9">
              <w:rPr>
                <w:i w:val="0"/>
                <w:sz w:val="18"/>
                <w:szCs w:val="18"/>
              </w:rPr>
              <w:t>(a) în cazul în care toate tranzacţiile incluse într-un set de compensare fac parte din portofoliul de tranzacţionare, sunt recunoscute numai garanţiile reale eligibile în temeiul articolelor 197 și 299;</w:t>
            </w:r>
          </w:p>
          <w:p w14:paraId="1C4DD3DC" w14:textId="77777777" w:rsidR="00221B89" w:rsidRPr="003B14E9" w:rsidRDefault="00221B89" w:rsidP="00221B89">
            <w:pPr>
              <w:pStyle w:val="title-article-norm"/>
              <w:jc w:val="left"/>
              <w:rPr>
                <w:i w:val="0"/>
                <w:sz w:val="18"/>
                <w:szCs w:val="18"/>
              </w:rPr>
            </w:pPr>
            <w:r w:rsidRPr="003B14E9">
              <w:rPr>
                <w:i w:val="0"/>
                <w:sz w:val="18"/>
                <w:szCs w:val="18"/>
              </w:rPr>
              <w:t>(b) în cazul în care un set de compensare cuprinde cel puţin o tranzacţie din afara portofoliului de tranzacţionare, sunt recunoscute numai garanţiile reale eligibile în temeiul articolului 197;</w:t>
            </w:r>
          </w:p>
          <w:p w14:paraId="70C57250" w14:textId="77777777" w:rsidR="00221B89" w:rsidRPr="003B14E9" w:rsidRDefault="00221B89" w:rsidP="00221B89">
            <w:pPr>
              <w:pStyle w:val="title-article-norm"/>
              <w:jc w:val="left"/>
              <w:rPr>
                <w:i w:val="0"/>
                <w:sz w:val="18"/>
                <w:szCs w:val="18"/>
              </w:rPr>
            </w:pPr>
            <w:r w:rsidRPr="003B14E9">
              <w:rPr>
                <w:i w:val="0"/>
                <w:sz w:val="18"/>
                <w:szCs w:val="18"/>
              </w:rPr>
              <w:t>(c) garanţiile reale primite de la o contraparte sunt recunoscute cu semn pozitiv, iar garanţiile reale furnizate unei contrapărţi sunt recunoscute cu semn negativ;</w:t>
            </w:r>
          </w:p>
          <w:p w14:paraId="61BF6DA2" w14:textId="77777777" w:rsidR="00221B89" w:rsidRPr="003B14E9" w:rsidRDefault="00221B89" w:rsidP="00221B89">
            <w:pPr>
              <w:pStyle w:val="title-article-norm"/>
              <w:jc w:val="left"/>
              <w:rPr>
                <w:i w:val="0"/>
                <w:sz w:val="18"/>
                <w:szCs w:val="18"/>
              </w:rPr>
            </w:pPr>
            <w:r w:rsidRPr="003B14E9">
              <w:rPr>
                <w:i w:val="0"/>
                <w:sz w:val="18"/>
                <w:szCs w:val="18"/>
              </w:rPr>
              <w:t xml:space="preserve">(d) valoarea ajustată pentru volatilitate a oricărui tip de garanţii reale primite sau furnizate se calculează în conformitate cu articolul 223; în scopul efectuării acestui </w:t>
            </w:r>
            <w:r w:rsidRPr="003B14E9">
              <w:rPr>
                <w:i w:val="0"/>
                <w:sz w:val="18"/>
                <w:szCs w:val="18"/>
              </w:rPr>
              <w:lastRenderedPageBreak/>
              <w:t>calcul, instituţiile nu utilizează metoda prevăzută la articolul 225;</w:t>
            </w:r>
          </w:p>
          <w:p w14:paraId="07DDC263" w14:textId="77777777" w:rsidR="00221B89" w:rsidRPr="003B14E9" w:rsidRDefault="00221B89" w:rsidP="00221B89">
            <w:pPr>
              <w:pStyle w:val="title-article-norm"/>
              <w:jc w:val="left"/>
              <w:rPr>
                <w:i w:val="0"/>
                <w:sz w:val="18"/>
                <w:szCs w:val="18"/>
              </w:rPr>
            </w:pPr>
            <w:r w:rsidRPr="003B14E9">
              <w:rPr>
                <w:i w:val="0"/>
                <w:sz w:val="18"/>
                <w:szCs w:val="18"/>
              </w:rPr>
              <w:t>(e) aceeași garanţie reală nu este inclusă în același timp și în VM, și în NICA;</w:t>
            </w:r>
          </w:p>
          <w:p w14:paraId="6176FDF8" w14:textId="77777777" w:rsidR="00221B89" w:rsidRPr="003B14E9" w:rsidRDefault="00221B89" w:rsidP="00221B89">
            <w:pPr>
              <w:pStyle w:val="title-article-norm"/>
              <w:jc w:val="left"/>
              <w:rPr>
                <w:i w:val="0"/>
                <w:sz w:val="18"/>
                <w:szCs w:val="18"/>
              </w:rPr>
            </w:pPr>
            <w:r w:rsidRPr="003B14E9">
              <w:rPr>
                <w:i w:val="0"/>
                <w:sz w:val="18"/>
                <w:szCs w:val="18"/>
              </w:rPr>
              <w:t>(f) aceeași garanţie reală nu este inclusă în același timp și în VM</w:t>
            </w:r>
            <w:r w:rsidRPr="003B14E9">
              <w:rPr>
                <w:i w:val="0"/>
                <w:sz w:val="18"/>
                <w:szCs w:val="18"/>
                <w:vertAlign w:val="subscript"/>
              </w:rPr>
              <w:t>MA</w:t>
            </w:r>
            <w:r w:rsidRPr="003B14E9">
              <w:rPr>
                <w:i w:val="0"/>
                <w:sz w:val="18"/>
                <w:szCs w:val="18"/>
              </w:rPr>
              <w:t xml:space="preserve"> , și în NICA</w:t>
            </w:r>
            <w:r w:rsidRPr="003B14E9">
              <w:rPr>
                <w:i w:val="0"/>
                <w:sz w:val="18"/>
                <w:szCs w:val="18"/>
                <w:vertAlign w:val="subscript"/>
              </w:rPr>
              <w:t>MA</w:t>
            </w:r>
            <w:r w:rsidRPr="003B14E9">
              <w:rPr>
                <w:i w:val="0"/>
                <w:sz w:val="18"/>
                <w:szCs w:val="18"/>
              </w:rPr>
              <w:t xml:space="preserve"> ;</w:t>
            </w:r>
          </w:p>
          <w:p w14:paraId="2CFA012A" w14:textId="77777777" w:rsidR="00221B89" w:rsidRPr="003B14E9" w:rsidRDefault="00221B89" w:rsidP="00221B89">
            <w:pPr>
              <w:pStyle w:val="title-article-norm"/>
              <w:jc w:val="left"/>
              <w:rPr>
                <w:i w:val="0"/>
                <w:sz w:val="18"/>
                <w:szCs w:val="18"/>
              </w:rPr>
            </w:pPr>
            <w:r w:rsidRPr="003B14E9">
              <w:rPr>
                <w:i w:val="0"/>
                <w:sz w:val="18"/>
                <w:szCs w:val="18"/>
              </w:rPr>
              <w:t>(g) nicio garanţie reală furnizată de contraparte care este separată de activele contrapărţii respective și, ca urmare a separării, este indisponibilă în caz de faliment sau în caz de intrare în stare de nerambursare ori de insolvenţă a contrapărţii respective nu este recunoscută în calcularea NICA și a NICA</w:t>
            </w:r>
            <w:r w:rsidRPr="003B14E9">
              <w:rPr>
                <w:i w:val="0"/>
                <w:sz w:val="18"/>
                <w:szCs w:val="18"/>
                <w:vertAlign w:val="subscript"/>
              </w:rPr>
              <w:t>MA .</w:t>
            </w:r>
          </w:p>
          <w:p w14:paraId="0E0B7B95" w14:textId="77777777" w:rsidR="00221B89" w:rsidRPr="003B14E9" w:rsidRDefault="00221B89" w:rsidP="00221B89">
            <w:pPr>
              <w:pStyle w:val="title-article-norm"/>
              <w:jc w:val="left"/>
              <w:rPr>
                <w:i w:val="0"/>
                <w:sz w:val="18"/>
                <w:szCs w:val="18"/>
              </w:rPr>
            </w:pPr>
            <w:r w:rsidRPr="003B14E9">
              <w:rPr>
                <w:i w:val="0"/>
                <w:sz w:val="18"/>
                <w:szCs w:val="18"/>
              </w:rPr>
              <w:t>(2) Pentru a calcula valoarea ajustată în funcţie de volatilitate a garanţiilor reale furnizate menţionate la alineatul (1) litera (d) de la prezentul articol, instituţiile înlocuiesc formula prevăzută la articolul 223 alineatul (2) cu formula următoare:</w:t>
            </w:r>
          </w:p>
          <w:p w14:paraId="6990B601" w14:textId="77777777" w:rsidR="00221B89" w:rsidRPr="003B14E9" w:rsidRDefault="00221B89" w:rsidP="00221B89">
            <w:pPr>
              <w:pStyle w:val="title-article-norm"/>
              <w:rPr>
                <w:i w:val="0"/>
                <w:sz w:val="18"/>
                <w:szCs w:val="18"/>
              </w:rPr>
            </w:pPr>
            <w:r w:rsidRPr="003B14E9">
              <w:rPr>
                <w:i w:val="0"/>
                <w:sz w:val="18"/>
                <w:szCs w:val="18"/>
              </w:rPr>
              <w:t>C</w:t>
            </w:r>
            <w:r w:rsidRPr="003B14E9">
              <w:rPr>
                <w:i w:val="0"/>
                <w:sz w:val="18"/>
                <w:szCs w:val="18"/>
                <w:vertAlign w:val="subscript"/>
              </w:rPr>
              <w:t>VA</w:t>
            </w:r>
            <w:r w:rsidRPr="003B14E9">
              <w:rPr>
                <w:i w:val="0"/>
                <w:sz w:val="18"/>
                <w:szCs w:val="18"/>
              </w:rPr>
              <w:t xml:space="preserve"> = C · (1 + H</w:t>
            </w:r>
            <w:r w:rsidRPr="003B14E9">
              <w:rPr>
                <w:i w:val="0"/>
                <w:sz w:val="18"/>
                <w:szCs w:val="18"/>
                <w:vertAlign w:val="subscript"/>
              </w:rPr>
              <w:t>c</w:t>
            </w:r>
            <w:r w:rsidRPr="003B14E9">
              <w:rPr>
                <w:i w:val="0"/>
                <w:sz w:val="18"/>
                <w:szCs w:val="18"/>
              </w:rPr>
              <w:t>+ H</w:t>
            </w:r>
            <w:r w:rsidRPr="003B14E9">
              <w:rPr>
                <w:i w:val="0"/>
                <w:sz w:val="18"/>
                <w:szCs w:val="18"/>
                <w:vertAlign w:val="subscript"/>
              </w:rPr>
              <w:t xml:space="preserve">fx </w:t>
            </w:r>
            <w:r w:rsidRPr="003B14E9">
              <w:rPr>
                <w:i w:val="0"/>
                <w:sz w:val="18"/>
                <w:szCs w:val="18"/>
              </w:rPr>
              <w:t>)</w:t>
            </w:r>
          </w:p>
          <w:p w14:paraId="6FA32B03" w14:textId="77777777" w:rsidR="00221B89" w:rsidRPr="003B14E9" w:rsidRDefault="00221B89" w:rsidP="00221B89">
            <w:pPr>
              <w:pStyle w:val="title-article-norm"/>
              <w:jc w:val="left"/>
              <w:rPr>
                <w:i w:val="0"/>
                <w:sz w:val="18"/>
                <w:szCs w:val="18"/>
              </w:rPr>
            </w:pPr>
            <w:r w:rsidRPr="003B14E9">
              <w:rPr>
                <w:i w:val="0"/>
                <w:sz w:val="18"/>
                <w:szCs w:val="18"/>
              </w:rPr>
              <w:t>unde:</w:t>
            </w:r>
          </w:p>
          <w:p w14:paraId="61B60C72" w14:textId="77777777" w:rsidR="00221B89" w:rsidRPr="003B14E9" w:rsidRDefault="00221B89" w:rsidP="00221B89">
            <w:pPr>
              <w:pStyle w:val="title-article-norm"/>
              <w:jc w:val="left"/>
              <w:rPr>
                <w:i w:val="0"/>
                <w:sz w:val="18"/>
                <w:szCs w:val="18"/>
              </w:rPr>
            </w:pPr>
            <w:r w:rsidRPr="003B14E9">
              <w:rPr>
                <w:i w:val="0"/>
                <w:sz w:val="18"/>
                <w:szCs w:val="18"/>
              </w:rPr>
              <w:t>C</w:t>
            </w:r>
            <w:r w:rsidRPr="003B14E9">
              <w:rPr>
                <w:i w:val="0"/>
                <w:sz w:val="18"/>
                <w:szCs w:val="18"/>
                <w:vertAlign w:val="subscript"/>
              </w:rPr>
              <w:t>VA</w:t>
            </w:r>
            <w:r w:rsidRPr="003B14E9">
              <w:rPr>
                <w:i w:val="0"/>
                <w:sz w:val="18"/>
                <w:szCs w:val="18"/>
              </w:rPr>
              <w:t xml:space="preserve"> = valoarea ajustată în funcţie de volatilitate a garanţiilor reale furnizate; și</w:t>
            </w:r>
          </w:p>
          <w:p w14:paraId="20086315" w14:textId="77777777" w:rsidR="00221B89" w:rsidRPr="003B14E9" w:rsidRDefault="00221B89" w:rsidP="00221B89">
            <w:pPr>
              <w:pStyle w:val="title-article-norm"/>
              <w:jc w:val="left"/>
              <w:rPr>
                <w:i w:val="0"/>
                <w:sz w:val="18"/>
                <w:szCs w:val="18"/>
              </w:rPr>
            </w:pPr>
            <w:r w:rsidRPr="003B14E9">
              <w:rPr>
                <w:i w:val="0"/>
                <w:sz w:val="18"/>
                <w:szCs w:val="18"/>
              </w:rPr>
              <w:t>C = garanţiile reale;</w:t>
            </w:r>
          </w:p>
          <w:p w14:paraId="7CCDE528" w14:textId="77777777" w:rsidR="00221B89" w:rsidRPr="003B14E9" w:rsidRDefault="00221B89" w:rsidP="00221B89">
            <w:pPr>
              <w:pStyle w:val="title-article-norm"/>
              <w:jc w:val="left"/>
              <w:rPr>
                <w:i w:val="0"/>
                <w:sz w:val="18"/>
                <w:szCs w:val="18"/>
              </w:rPr>
            </w:pPr>
            <w:r w:rsidRPr="003B14E9">
              <w:rPr>
                <w:i w:val="0"/>
                <w:sz w:val="18"/>
                <w:szCs w:val="18"/>
              </w:rPr>
              <w:t>H</w:t>
            </w:r>
            <w:r w:rsidRPr="003B14E9">
              <w:rPr>
                <w:i w:val="0"/>
                <w:sz w:val="18"/>
                <w:szCs w:val="18"/>
                <w:vertAlign w:val="subscript"/>
              </w:rPr>
              <w:t>c</w:t>
            </w:r>
            <w:r w:rsidRPr="003B14E9">
              <w:rPr>
                <w:i w:val="0"/>
                <w:sz w:val="18"/>
                <w:szCs w:val="18"/>
              </w:rPr>
              <w:t xml:space="preserve"> și H</w:t>
            </w:r>
            <w:r w:rsidRPr="003B14E9">
              <w:rPr>
                <w:i w:val="0"/>
                <w:sz w:val="18"/>
                <w:szCs w:val="18"/>
                <w:vertAlign w:val="subscript"/>
              </w:rPr>
              <w:t>fx</w:t>
            </w:r>
            <w:r w:rsidRPr="003B14E9">
              <w:rPr>
                <w:i w:val="0"/>
                <w:sz w:val="18"/>
                <w:szCs w:val="18"/>
              </w:rPr>
              <w:t xml:space="preserve"> sunt definite în conformitate cu articolul 223 alineatul (2).</w:t>
            </w:r>
          </w:p>
          <w:p w14:paraId="01DD2925" w14:textId="77777777" w:rsidR="00221B89" w:rsidRPr="003B14E9" w:rsidRDefault="00221B89" w:rsidP="00221B89">
            <w:pPr>
              <w:pStyle w:val="title-article-norm"/>
              <w:jc w:val="left"/>
              <w:rPr>
                <w:i w:val="0"/>
                <w:sz w:val="18"/>
                <w:szCs w:val="18"/>
              </w:rPr>
            </w:pPr>
            <w:r w:rsidRPr="003B14E9">
              <w:rPr>
                <w:i w:val="0"/>
                <w:sz w:val="18"/>
                <w:szCs w:val="18"/>
              </w:rPr>
              <w:lastRenderedPageBreak/>
              <w:t>(3) În sensul alineatului (1) litera (d), instituţiile stabilesc perioada de lichidare relevantă pentru calcularea valorii ajustate în funcţie de volatilitate a garanţiilor reale primite sau furnizate în conformitate cu unul dintre următoarele orizonturi de timp:</w:t>
            </w:r>
          </w:p>
          <w:p w14:paraId="1C801C6D" w14:textId="77777777" w:rsidR="00221B89" w:rsidRPr="003B14E9" w:rsidRDefault="00221B89" w:rsidP="00221B89">
            <w:pPr>
              <w:pStyle w:val="title-article-norm"/>
              <w:jc w:val="left"/>
              <w:rPr>
                <w:i w:val="0"/>
                <w:sz w:val="18"/>
                <w:szCs w:val="18"/>
              </w:rPr>
            </w:pPr>
            <w:r w:rsidRPr="003B14E9">
              <w:rPr>
                <w:i w:val="0"/>
                <w:sz w:val="18"/>
                <w:szCs w:val="18"/>
              </w:rPr>
              <w:t>(a) un an pentru seturile de compensare menţionate la articolul 275 alineatul (1);</w:t>
            </w:r>
          </w:p>
          <w:p w14:paraId="79CF4CFA" w14:textId="77777777" w:rsidR="00221B89" w:rsidRPr="003B14E9" w:rsidRDefault="00221B89" w:rsidP="00221B89">
            <w:pPr>
              <w:pStyle w:val="title-article-norm"/>
              <w:jc w:val="left"/>
              <w:rPr>
                <w:i w:val="0"/>
                <w:sz w:val="18"/>
                <w:szCs w:val="18"/>
              </w:rPr>
            </w:pPr>
            <w:r w:rsidRPr="003B14E9">
              <w:rPr>
                <w:i w:val="0"/>
                <w:sz w:val="18"/>
                <w:szCs w:val="18"/>
              </w:rPr>
              <w:t>(b) perioada de risc de marjă determinată în conformitate cu articolul 279c alineatul (1) litera (b) pentru seturile de compensare menţionate la articolul 275 alineatele (2) și (3).</w:t>
            </w:r>
          </w:p>
          <w:p w14:paraId="0F96EC87" w14:textId="77777777" w:rsidR="00221B89" w:rsidRPr="003B14E9" w:rsidRDefault="00221B89" w:rsidP="00221B89">
            <w:pPr>
              <w:pStyle w:val="title-article-norm"/>
              <w:jc w:val="both"/>
              <w:rPr>
                <w:i w:val="0"/>
                <w:sz w:val="18"/>
                <w:szCs w:val="18"/>
                <w:lang w:val="ro-MD"/>
              </w:rPr>
            </w:pPr>
          </w:p>
        </w:tc>
        <w:tc>
          <w:tcPr>
            <w:tcW w:w="4425" w:type="dxa"/>
            <w:shd w:val="clear" w:color="auto" w:fill="auto"/>
          </w:tcPr>
          <w:p w14:paraId="20C8F953" w14:textId="77777777" w:rsidR="00221B89" w:rsidRPr="003B14E9" w:rsidRDefault="00221B89" w:rsidP="00221B89">
            <w:pPr>
              <w:pStyle w:val="CM4"/>
              <w:tabs>
                <w:tab w:val="left" w:pos="551"/>
              </w:tabs>
              <w:spacing w:before="60" w:after="60"/>
              <w:jc w:val="center"/>
              <w:rPr>
                <w:rFonts w:ascii="Times New Roman" w:hAnsi="Times New Roman"/>
                <w:color w:val="000000"/>
                <w:sz w:val="18"/>
                <w:szCs w:val="18"/>
              </w:rPr>
            </w:pPr>
            <w:r w:rsidRPr="003B14E9">
              <w:rPr>
                <w:rFonts w:ascii="Times New Roman" w:hAnsi="Times New Roman"/>
                <w:i/>
                <w:iCs/>
                <w:color w:val="000000"/>
                <w:sz w:val="18"/>
                <w:szCs w:val="18"/>
              </w:rPr>
              <w:lastRenderedPageBreak/>
              <w:t>Secțiunea a 3-a</w:t>
            </w:r>
          </w:p>
          <w:p w14:paraId="5911AB36" w14:textId="77777777" w:rsidR="00221B89" w:rsidRPr="003B14E9" w:rsidRDefault="00221B89" w:rsidP="00221B89">
            <w:pPr>
              <w:pStyle w:val="CM4"/>
              <w:tabs>
                <w:tab w:val="left" w:pos="551"/>
              </w:tabs>
              <w:spacing w:before="60" w:after="60"/>
              <w:jc w:val="center"/>
              <w:rPr>
                <w:rFonts w:ascii="Times New Roman" w:hAnsi="Times New Roman"/>
                <w:color w:val="000000"/>
                <w:sz w:val="18"/>
                <w:szCs w:val="18"/>
              </w:rPr>
            </w:pPr>
            <w:r w:rsidRPr="003B14E9">
              <w:rPr>
                <w:rFonts w:ascii="Times New Roman" w:hAnsi="Times New Roman"/>
                <w:b/>
                <w:bCs/>
                <w:color w:val="000000"/>
                <w:sz w:val="18"/>
                <w:szCs w:val="18"/>
              </w:rPr>
              <w:t>Recunoașterea și tratamentul aplicat garanţiilor reale</w:t>
            </w:r>
          </w:p>
          <w:p w14:paraId="15E20A17"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41.</w:t>
            </w:r>
            <w:r w:rsidRPr="003B14E9">
              <w:rPr>
                <w:rFonts w:eastAsiaTheme="minorHAnsi"/>
                <w:color w:val="000000"/>
                <w:sz w:val="18"/>
                <w:szCs w:val="18"/>
                <w:lang w:val="ro-MD" w:eastAsia="en-US"/>
                <w14:ligatures w14:val="standardContextual"/>
              </w:rPr>
              <w:t xml:space="preserve"> În sensul prezentei secţiuni, băncile calculează valoarea garanţiilor reale aferente VM, VM</w:t>
            </w:r>
            <w:r w:rsidRPr="003B14E9">
              <w:rPr>
                <w:rFonts w:eastAsiaTheme="minorHAnsi"/>
                <w:color w:val="000000"/>
                <w:sz w:val="18"/>
                <w:szCs w:val="18"/>
                <w:vertAlign w:val="subscript"/>
                <w:lang w:val="ro-MD" w:eastAsia="en-US"/>
                <w14:ligatures w14:val="standardContextual"/>
              </w:rPr>
              <w:t>MA</w:t>
            </w:r>
            <w:r w:rsidRPr="003B14E9">
              <w:rPr>
                <w:rFonts w:eastAsiaTheme="minorHAnsi"/>
                <w:color w:val="000000"/>
                <w:sz w:val="18"/>
                <w:szCs w:val="18"/>
                <w:lang w:val="ro-MD" w:eastAsia="en-US"/>
                <w14:ligatures w14:val="standardContextual"/>
              </w:rPr>
              <w:t>, NICA și NICA</w:t>
            </w:r>
            <w:r w:rsidRPr="003B14E9">
              <w:rPr>
                <w:rFonts w:eastAsiaTheme="minorHAnsi"/>
                <w:color w:val="000000"/>
                <w:sz w:val="18"/>
                <w:szCs w:val="18"/>
                <w:vertAlign w:val="subscript"/>
                <w:lang w:val="ro-MD" w:eastAsia="en-US"/>
                <w14:ligatures w14:val="standardContextual"/>
              </w:rPr>
              <w:t>MA</w:t>
            </w:r>
            <w:r w:rsidRPr="003B14E9">
              <w:rPr>
                <w:rFonts w:eastAsiaTheme="minorHAnsi"/>
                <w:color w:val="000000"/>
                <w:sz w:val="18"/>
                <w:szCs w:val="18"/>
                <w:lang w:val="ro-MD" w:eastAsia="en-US"/>
                <w14:ligatures w14:val="standardContextual"/>
              </w:rPr>
              <w:t xml:space="preserve">, prin aplicarea tuturor cerinţelor următoare: </w:t>
            </w:r>
          </w:p>
          <w:p w14:paraId="1BA9D52C"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în cazul în care toate tranzacţiile incluse într-un set de compensare fac parte din portofoliul de tranzacţionare, sunt recunoscute numai garanţiile reale eligibile în temeiul punctului 25 din Regulamentul nr.112/2018 cu privire la tehnicile de diminuare a riscului de credit utilizate de bănci și punctelor 98-104 din prezentul regulament; </w:t>
            </w:r>
          </w:p>
          <w:p w14:paraId="5D63B107"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în cazul în care un set de compensare cuprinde cel puţin o tranzacţie din afara portofoliului de tranzacţionare, sunt recunoscute numai garanţiile reale eligibile în temeiul punctului 25 din Regulamentul nr.112/2018 cu privire la tehnicile de diminuare a riscului de credit utilizate de bănci; </w:t>
            </w:r>
          </w:p>
          <w:p w14:paraId="548B54A6"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3) garanţiile reale primite de la o contraparte sunt recunoscute cu semn pozitiv, iar garanţiile reale furnizate unei contrapărţi sunt recunoscute cu semn negativ; </w:t>
            </w:r>
          </w:p>
          <w:p w14:paraId="003B4EDB"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4) valoarea ajustată pentru volatilitate a oricărui tip de garanţii reale primite sau furnizate se calculează în conformitate cu punctele 84-94 din Regulamentul nr.112/2018 cu privire la tehnicile de diminuare a riscului </w:t>
            </w:r>
            <w:r w:rsidRPr="003B14E9">
              <w:rPr>
                <w:rFonts w:eastAsiaTheme="minorHAnsi"/>
                <w:color w:val="000000"/>
                <w:sz w:val="18"/>
                <w:szCs w:val="18"/>
                <w:lang w:val="ro-MD" w:eastAsia="en-US"/>
                <w14:ligatures w14:val="standardContextual"/>
              </w:rPr>
              <w:lastRenderedPageBreak/>
              <w:t xml:space="preserve">de credit utilizate de bănci, în scopul efectuării acestui calcul;  </w:t>
            </w:r>
          </w:p>
          <w:p w14:paraId="7E4CE645"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5) aceeași garanţie reală nu este inclusă în același timp și în VM, și în NICA; </w:t>
            </w:r>
          </w:p>
          <w:p w14:paraId="672AE68B"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6) aceeași garanţie reală nu este inclusă în același timp și în VM</w:t>
            </w:r>
            <w:r w:rsidRPr="003B14E9">
              <w:rPr>
                <w:rFonts w:eastAsiaTheme="minorHAnsi"/>
                <w:color w:val="000000"/>
                <w:sz w:val="18"/>
                <w:szCs w:val="18"/>
                <w:vertAlign w:val="subscript"/>
                <w:lang w:val="ro-MD" w:eastAsia="en-US"/>
                <w14:ligatures w14:val="standardContextual"/>
              </w:rPr>
              <w:t>MA</w:t>
            </w:r>
            <w:r w:rsidRPr="003B14E9">
              <w:rPr>
                <w:rFonts w:eastAsiaTheme="minorHAnsi"/>
                <w:color w:val="000000"/>
                <w:sz w:val="18"/>
                <w:szCs w:val="18"/>
                <w:lang w:val="ro-MD" w:eastAsia="en-US"/>
                <w14:ligatures w14:val="standardContextual"/>
              </w:rPr>
              <w:t>, și în NICA</w:t>
            </w:r>
            <w:r w:rsidRPr="003B14E9">
              <w:rPr>
                <w:rFonts w:eastAsiaTheme="minorHAnsi"/>
                <w:color w:val="000000"/>
                <w:sz w:val="18"/>
                <w:szCs w:val="18"/>
                <w:vertAlign w:val="subscript"/>
                <w:lang w:val="ro-MD" w:eastAsia="en-US"/>
                <w14:ligatures w14:val="standardContextual"/>
              </w:rPr>
              <w:t>MA</w:t>
            </w:r>
            <w:r w:rsidRPr="003B14E9">
              <w:rPr>
                <w:rFonts w:eastAsiaTheme="minorHAnsi"/>
                <w:color w:val="000000"/>
                <w:sz w:val="18"/>
                <w:szCs w:val="18"/>
                <w:lang w:val="ro-MD" w:eastAsia="en-US"/>
                <w14:ligatures w14:val="standardContextual"/>
              </w:rPr>
              <w:t xml:space="preserve">; </w:t>
            </w:r>
          </w:p>
          <w:p w14:paraId="73DB45EC"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7) nicio garanţie reală furnizată de contraparte care este separată de activele contrapărţii respective și, ca urmare a separării, este indisponibilă în caz de faliment sau în caz de intrare în stare de nerambursare ori de insolvenţă a contrapărţii respective nu este recunoscută în calcularea NICA și a NICA</w:t>
            </w:r>
            <w:r w:rsidRPr="003B14E9">
              <w:rPr>
                <w:rFonts w:eastAsiaTheme="minorHAnsi"/>
                <w:color w:val="000000"/>
                <w:sz w:val="18"/>
                <w:szCs w:val="18"/>
                <w:vertAlign w:val="subscript"/>
                <w:lang w:val="ro-MD" w:eastAsia="en-US"/>
                <w14:ligatures w14:val="standardContextual"/>
              </w:rPr>
              <w:t>MA</w:t>
            </w:r>
            <w:r w:rsidRPr="003B14E9">
              <w:rPr>
                <w:rFonts w:eastAsiaTheme="minorHAnsi"/>
                <w:color w:val="000000"/>
                <w:sz w:val="18"/>
                <w:szCs w:val="18"/>
                <w:lang w:val="ro-MD" w:eastAsia="en-US"/>
                <w14:ligatures w14:val="standardContextual"/>
              </w:rPr>
              <w:t xml:space="preserve">. </w:t>
            </w:r>
          </w:p>
          <w:p w14:paraId="3E16705C"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42.</w:t>
            </w:r>
            <w:r w:rsidRPr="003B14E9">
              <w:rPr>
                <w:rFonts w:eastAsiaTheme="minorHAnsi"/>
                <w:color w:val="000000"/>
                <w:sz w:val="18"/>
                <w:szCs w:val="18"/>
                <w:lang w:val="ro-MD" w:eastAsia="en-US"/>
                <w14:ligatures w14:val="standardContextual"/>
              </w:rPr>
              <w:t xml:space="preserve"> Pentru a calcula valoarea ajustată în funcţie de volatilitate a garanţiilor reale furnizate menţionate la punctul 41 subpunctul 4), băncile înlocuiesc formula prevăzută la punctul 87 din Regulamentul nr.112/2018 cu privire la tehnicile de diminuare a riscului de credit utilizate de bănci cu formula următoare: </w:t>
            </w:r>
          </w:p>
          <w:p w14:paraId="7DE15C8C" w14:textId="77777777" w:rsidR="00221B89" w:rsidRPr="003B14E9" w:rsidRDefault="00221B89" w:rsidP="00221B89">
            <w:pPr>
              <w:tabs>
                <w:tab w:val="left" w:pos="551"/>
              </w:tabs>
              <w:autoSpaceDE w:val="0"/>
              <w:autoSpaceDN w:val="0"/>
              <w:adjustRightInd w:val="0"/>
              <w:spacing w:before="60" w:after="60"/>
              <w:ind w:firstLine="567"/>
              <w:jc w:val="center"/>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C</w:t>
            </w:r>
            <w:r w:rsidRPr="003B14E9">
              <w:rPr>
                <w:rFonts w:eastAsiaTheme="minorHAnsi"/>
                <w:color w:val="000000"/>
                <w:sz w:val="18"/>
                <w:szCs w:val="18"/>
                <w:vertAlign w:val="subscript"/>
                <w:lang w:val="ro-MD" w:eastAsia="en-US"/>
                <w14:ligatures w14:val="standardContextual"/>
              </w:rPr>
              <w:t>VA</w:t>
            </w:r>
            <w:r w:rsidRPr="003B14E9">
              <w:rPr>
                <w:rFonts w:eastAsiaTheme="minorHAnsi"/>
                <w:color w:val="000000"/>
                <w:sz w:val="18"/>
                <w:szCs w:val="18"/>
                <w:lang w:val="ro-MD" w:eastAsia="en-US"/>
                <w14:ligatures w14:val="standardContextual"/>
              </w:rPr>
              <w:t xml:space="preserve"> = C · (1 + H</w:t>
            </w:r>
            <w:r w:rsidRPr="003B14E9">
              <w:rPr>
                <w:rFonts w:eastAsiaTheme="minorHAnsi"/>
                <w:color w:val="000000"/>
                <w:sz w:val="18"/>
                <w:szCs w:val="18"/>
                <w:vertAlign w:val="subscript"/>
                <w:lang w:val="ro-MD" w:eastAsia="en-US"/>
                <w14:ligatures w14:val="standardContextual"/>
              </w:rPr>
              <w:t>c</w:t>
            </w:r>
            <w:r w:rsidRPr="003B14E9">
              <w:rPr>
                <w:rFonts w:eastAsiaTheme="minorHAnsi"/>
                <w:color w:val="000000"/>
                <w:sz w:val="18"/>
                <w:szCs w:val="18"/>
                <w:lang w:val="ro-MD" w:eastAsia="en-US"/>
                <w14:ligatures w14:val="standardContextual"/>
              </w:rPr>
              <w:t xml:space="preserve"> + H</w:t>
            </w:r>
            <w:r w:rsidRPr="003B14E9">
              <w:rPr>
                <w:rFonts w:eastAsiaTheme="minorHAnsi"/>
                <w:color w:val="000000"/>
                <w:sz w:val="18"/>
                <w:szCs w:val="18"/>
                <w:vertAlign w:val="subscript"/>
                <w:lang w:val="ro-MD" w:eastAsia="en-US"/>
                <w14:ligatures w14:val="standardContextual"/>
              </w:rPr>
              <w:t>fx</w:t>
            </w:r>
            <w:r w:rsidRPr="003B14E9">
              <w:rPr>
                <w:rFonts w:eastAsiaTheme="minorHAnsi"/>
                <w:color w:val="000000"/>
                <w:sz w:val="18"/>
                <w:szCs w:val="18"/>
                <w:lang w:val="ro-MD" w:eastAsia="en-US"/>
                <w14:ligatures w14:val="standardContextual"/>
              </w:rPr>
              <w:t xml:space="preserve"> )</w:t>
            </w:r>
          </w:p>
          <w:p w14:paraId="49A872FA"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5E4FAE12"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C</w:t>
            </w:r>
            <w:r w:rsidRPr="003B14E9">
              <w:rPr>
                <w:rFonts w:eastAsiaTheme="minorHAnsi"/>
                <w:color w:val="000000"/>
                <w:sz w:val="18"/>
                <w:szCs w:val="18"/>
                <w:vertAlign w:val="subscript"/>
                <w:lang w:val="ro-MD" w:eastAsia="en-US"/>
                <w14:ligatures w14:val="standardContextual"/>
              </w:rPr>
              <w:t>VA</w:t>
            </w:r>
            <w:r w:rsidRPr="003B14E9">
              <w:rPr>
                <w:rFonts w:eastAsiaTheme="minorHAnsi"/>
                <w:color w:val="000000"/>
                <w:sz w:val="18"/>
                <w:szCs w:val="18"/>
                <w:lang w:val="ro-MD" w:eastAsia="en-US"/>
                <w14:ligatures w14:val="standardContextual"/>
              </w:rPr>
              <w:t xml:space="preserve"> = valoarea ajustată în funcţie de volatilitate a garanţiilor reale furnizate; și </w:t>
            </w:r>
          </w:p>
          <w:p w14:paraId="31D5CCCB"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C = garanţiile reale; </w:t>
            </w:r>
          </w:p>
          <w:p w14:paraId="721E62EE"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H</w:t>
            </w:r>
            <w:r w:rsidRPr="003B14E9">
              <w:rPr>
                <w:rFonts w:eastAsiaTheme="minorHAnsi"/>
                <w:color w:val="000000"/>
                <w:sz w:val="18"/>
                <w:szCs w:val="18"/>
                <w:vertAlign w:val="subscript"/>
                <w:lang w:val="ro-MD" w:eastAsia="en-US"/>
                <w14:ligatures w14:val="standardContextual"/>
              </w:rPr>
              <w:t>c</w:t>
            </w:r>
            <w:r w:rsidRPr="003B14E9">
              <w:rPr>
                <w:rFonts w:eastAsiaTheme="minorHAnsi"/>
                <w:color w:val="000000"/>
                <w:sz w:val="18"/>
                <w:szCs w:val="18"/>
                <w:lang w:val="ro-MD" w:eastAsia="en-US"/>
                <w14:ligatures w14:val="standardContextual"/>
              </w:rPr>
              <w:t xml:space="preserve"> și H</w:t>
            </w:r>
            <w:r w:rsidRPr="003B14E9">
              <w:rPr>
                <w:rFonts w:eastAsiaTheme="minorHAnsi"/>
                <w:color w:val="000000"/>
                <w:sz w:val="18"/>
                <w:szCs w:val="18"/>
                <w:vertAlign w:val="subscript"/>
                <w:lang w:val="ro-MD" w:eastAsia="en-US"/>
                <w14:ligatures w14:val="standardContextual"/>
              </w:rPr>
              <w:t>fx</w:t>
            </w:r>
            <w:r w:rsidRPr="003B14E9">
              <w:rPr>
                <w:rFonts w:eastAsiaTheme="minorHAnsi"/>
                <w:color w:val="000000"/>
                <w:sz w:val="18"/>
                <w:szCs w:val="18"/>
                <w:lang w:val="ro-MD" w:eastAsia="en-US"/>
                <w14:ligatures w14:val="standardContextual"/>
              </w:rPr>
              <w:t xml:space="preserve"> sunt definite în conformitate cu punctul 87 din Regulamentul nr.112/2018 cu privire la tehnicile de diminuare a riscului de credit utilizate de bănci.</w:t>
            </w:r>
          </w:p>
          <w:p w14:paraId="12C646D7"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43.</w:t>
            </w:r>
            <w:r w:rsidRPr="003B14E9">
              <w:rPr>
                <w:rFonts w:eastAsiaTheme="minorHAnsi"/>
                <w:color w:val="000000"/>
                <w:sz w:val="18"/>
                <w:szCs w:val="18"/>
                <w:lang w:val="ro-MD" w:eastAsia="en-US"/>
                <w14:ligatures w14:val="standardContextual"/>
              </w:rPr>
              <w:t xml:space="preserve"> În sensul punctului 41 subpunctul 4), băncile stabilesc perioada de lichidare relevantă pentru calcularea valorii ajustate în funcţie de volatilitate a garanţiilor reale primite sau furnizate în conformitate cu unul dintre următoarele orizonturi de timp: </w:t>
            </w:r>
          </w:p>
          <w:p w14:paraId="5B985BAE"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 xml:space="preserve">1) un an pentru seturile de compensare menţionate la punctul 38; </w:t>
            </w:r>
          </w:p>
          <w:p w14:paraId="7F01F72D" w14:textId="77777777" w:rsidR="00221B89" w:rsidRPr="003B14E9" w:rsidRDefault="00221B89" w:rsidP="00221B89">
            <w:pPr>
              <w:tabs>
                <w:tab w:val="left" w:pos="551"/>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perioada de risc de marjă determinată în conformitate cu punctul 60 subpunctul 2) pentru seturile de compensare menţionate la punctele 39 și 40. </w:t>
            </w:r>
          </w:p>
          <w:p w14:paraId="2BFCB1A3" w14:textId="77777777" w:rsidR="00221B89" w:rsidRPr="003B14E9" w:rsidRDefault="00221B89" w:rsidP="00221B89">
            <w:pPr>
              <w:pStyle w:val="NoSpacing"/>
              <w:tabs>
                <w:tab w:val="left" w:pos="328"/>
              </w:tabs>
              <w:jc w:val="both"/>
              <w:rPr>
                <w:rFonts w:ascii="Times New Roman" w:hAnsi="Times New Roman" w:cs="Times New Roman"/>
                <w:b/>
                <w:bCs/>
                <w:sz w:val="18"/>
                <w:szCs w:val="18"/>
                <w:lang w:val="ro-MD"/>
              </w:rPr>
            </w:pPr>
          </w:p>
        </w:tc>
        <w:tc>
          <w:tcPr>
            <w:tcW w:w="1160" w:type="dxa"/>
          </w:tcPr>
          <w:p w14:paraId="183795B4" w14:textId="097478CE" w:rsidR="00221B89" w:rsidRPr="003B14E9" w:rsidRDefault="00221B89" w:rsidP="00221B89">
            <w:pPr>
              <w:jc w:val="both"/>
              <w:rPr>
                <w:sz w:val="18"/>
                <w:szCs w:val="18"/>
                <w:lang w:val="ro-MD"/>
              </w:rPr>
            </w:pPr>
            <w:r w:rsidRPr="003B14E9">
              <w:rPr>
                <w:sz w:val="18"/>
                <w:szCs w:val="18"/>
                <w:lang w:val="ro-MD"/>
              </w:rPr>
              <w:lastRenderedPageBreak/>
              <w:t>Compatibil</w:t>
            </w:r>
          </w:p>
        </w:tc>
        <w:tc>
          <w:tcPr>
            <w:tcW w:w="3041" w:type="dxa"/>
          </w:tcPr>
          <w:p w14:paraId="2776EBEA" w14:textId="77777777" w:rsidR="00221B89" w:rsidRPr="003B14E9" w:rsidRDefault="00221B89" w:rsidP="00221B89">
            <w:pPr>
              <w:rPr>
                <w:sz w:val="18"/>
                <w:szCs w:val="18"/>
                <w:highlight w:val="red"/>
                <w:lang w:val="ro-MD"/>
              </w:rPr>
            </w:pPr>
          </w:p>
        </w:tc>
        <w:tc>
          <w:tcPr>
            <w:tcW w:w="1055" w:type="dxa"/>
            <w:tcBorders>
              <w:top w:val="single" w:sz="4" w:space="0" w:color="auto"/>
              <w:bottom w:val="single" w:sz="4" w:space="0" w:color="auto"/>
            </w:tcBorders>
          </w:tcPr>
          <w:p w14:paraId="18453B77" w14:textId="77777777" w:rsidR="00221B89" w:rsidRPr="003B14E9" w:rsidRDefault="00221B89" w:rsidP="00221B89">
            <w:pPr>
              <w:jc w:val="both"/>
              <w:rPr>
                <w:sz w:val="18"/>
                <w:szCs w:val="18"/>
                <w:lang w:val="ro-MD"/>
              </w:rPr>
            </w:pPr>
          </w:p>
        </w:tc>
        <w:tc>
          <w:tcPr>
            <w:tcW w:w="1330" w:type="dxa"/>
            <w:tcBorders>
              <w:bottom w:val="single" w:sz="4" w:space="0" w:color="auto"/>
            </w:tcBorders>
          </w:tcPr>
          <w:p w14:paraId="3306F456" w14:textId="77777777" w:rsidR="00221B89" w:rsidRPr="003B14E9" w:rsidRDefault="00221B89" w:rsidP="00221B89">
            <w:pPr>
              <w:jc w:val="both"/>
              <w:rPr>
                <w:sz w:val="18"/>
                <w:szCs w:val="18"/>
                <w:lang w:val="ro-MD"/>
              </w:rPr>
            </w:pPr>
          </w:p>
        </w:tc>
      </w:tr>
      <w:tr w:rsidR="00221B89" w:rsidRPr="003B14E9" w14:paraId="7FF96E69" w14:textId="77777777" w:rsidTr="00604EF1">
        <w:trPr>
          <w:trHeight w:val="918"/>
        </w:trPr>
        <w:tc>
          <w:tcPr>
            <w:tcW w:w="4473" w:type="dxa"/>
          </w:tcPr>
          <w:p w14:paraId="018BA728" w14:textId="3559FF91"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i/>
                <w:iCs/>
                <w:color w:val="000000"/>
                <w:sz w:val="18"/>
                <w:szCs w:val="18"/>
                <w:lang w:val="ro-MD" w:eastAsia="en-US"/>
              </w:rPr>
              <w:lastRenderedPageBreak/>
              <w:t>Articolul 277</w:t>
            </w:r>
            <w:r w:rsidR="00415A32" w:rsidRPr="003B14E9">
              <w:rPr>
                <w:rFonts w:eastAsiaTheme="minorHAnsi"/>
                <w:i/>
                <w:iCs/>
                <w:color w:val="000000"/>
                <w:sz w:val="18"/>
                <w:szCs w:val="18"/>
                <w:lang w:val="ro-MD" w:eastAsia="en-US"/>
              </w:rPr>
              <w:t xml:space="preserve"> </w:t>
            </w:r>
            <w:r w:rsidRPr="003B14E9">
              <w:rPr>
                <w:rFonts w:eastAsiaTheme="minorHAnsi"/>
                <w:b/>
                <w:bCs/>
                <w:color w:val="000000"/>
                <w:sz w:val="18"/>
                <w:szCs w:val="18"/>
                <w:lang w:val="ro-MD" w:eastAsia="en-US"/>
              </w:rPr>
              <w:t>Încadrarea tranzacţiilor în categorii de risc</w:t>
            </w:r>
          </w:p>
          <w:p w14:paraId="65985AC2"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(1) Instituţiile încadrează fiecare tranzacţie dintr-un set de compensare într-una din următoarele categorii de risc pentru a determina expunerea viitoare potenţială a setului de compensare menţionată la articolul 278: </w:t>
            </w:r>
          </w:p>
          <w:p w14:paraId="20DEAB48"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(a) riscul de rată a dobânzii; </w:t>
            </w:r>
          </w:p>
          <w:p w14:paraId="195DB031"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(b) riscul valutar; </w:t>
            </w:r>
          </w:p>
          <w:p w14:paraId="3A3D02C5"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(c) riscul de credit; </w:t>
            </w:r>
          </w:p>
          <w:p w14:paraId="51A01788"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(d) riscul privind titlurile de capital; </w:t>
            </w:r>
          </w:p>
          <w:p w14:paraId="05B39FB1"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(e) riscul de marfă; </w:t>
            </w:r>
          </w:p>
          <w:p w14:paraId="5701F043"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(f) alte riscuri. </w:t>
            </w:r>
          </w:p>
          <w:p w14:paraId="006B2591"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(2) Instituţiile efectuează încadrarea menţionată la alineatul (1) în funcţie de determinantul de risc principal al unei tranzacţii cu instrumente financiare derivate. Determinantul de risc principal este singurul determinant de risc semnificativ al unei tranzacţii cu instrumente financiare derivate. </w:t>
            </w:r>
          </w:p>
          <w:p w14:paraId="298CDC62"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lastRenderedPageBreak/>
              <w:t xml:space="preserve">(3) Prin derogare de la alineatul (2), instituţiile încadrează tranzacţiile cu instrumente financiare derivate care au mai mult de un determinant de risc semnificativ în mai multe categorii de risc. În cazul în care toţi determinanţii de risc semnificativi ai uneia dintre aceste tranzacţii fac parte din aceeași categorie de risc, instituţiile nu sunt obligate să încadreze tranzacţia respectivă în categoria de risc respectivă decât o singură dată, pe baza celui mai semnificativ dintre determinanţii de risc. În cazul în care determinanţii de risc semnificativi ai uneia dintre aceste tranzacţii fac parte din categorii de risc diferite, instituţiile încadrează tranzacţia respectivă o singură dată în fiecare categorie de risc pentru care tranzacţia are cel puţin un determinant de risc semnificativ, pe baza celui mai semnificativ dintre determinanţii de risc din categoria de risc în cauză. </w:t>
            </w:r>
          </w:p>
          <w:p w14:paraId="1BEF51A1"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(4) În pofida alineatelor (1), (2) și (3), la încadrarea tranzacţiilor în categoriile de risc enumerate la alineatul (1), instituţiile aplică următoarele cerinţe: </w:t>
            </w:r>
          </w:p>
          <w:p w14:paraId="471B4B0B"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(a) în cazul în care determinantul de risc principal al unei tranzacţii sau cel mai semnificativ determinant de risc într-o anumită categorie de risc pentru tranzacţiile menţionate la alineatul (3) este o variabilă legată de inflaţie, instituţiile încadrează tranzacţia respectivă în categoria de risc de rată a dobânzii; </w:t>
            </w:r>
          </w:p>
          <w:p w14:paraId="7D1AB401"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(b) în cazul în care determinantul de risc principal al unei tranzacţii sau cel mai semnificativ determinant de risc într-o anumită categorie de risc pentru tranzacţiile menţionate la alineatul (3) este o variabilă legată de condiţiile climatice, instituţiile încadrează tranzacţia respectivă în categoria de risc de marfă. </w:t>
            </w:r>
          </w:p>
          <w:p w14:paraId="04788C25"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(5) ABE elaborează proiecte de standarde tehnice de reglementare pentru a preciza: </w:t>
            </w:r>
          </w:p>
          <w:p w14:paraId="1FA50BA2"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lastRenderedPageBreak/>
              <w:t xml:space="preserve">(a) metoda pentru identificarea tranzacţiilor cu un singur determinant de risc semnificativ; </w:t>
            </w:r>
          </w:p>
          <w:p w14:paraId="19BC156E"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(b) metoda pentru identificarea tranzacţiilor cu mai mult de un determinant de risc semnificativ și pentru identificarea celui mai semnificativ dintre determinanţii de risc respectivi în sensul alineatului (3). </w:t>
            </w:r>
          </w:p>
          <w:p w14:paraId="5F8ECCB0" w14:textId="77777777" w:rsidR="00221B89" w:rsidRPr="003B14E9" w:rsidRDefault="00221B89" w:rsidP="00221B89">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ABE prezintă Comisiei aceste proiecte de standarde tehnice de reglementare până la 28 decembrie 2019. </w:t>
            </w:r>
          </w:p>
          <w:p w14:paraId="6DD5569E" w14:textId="044F70D4" w:rsidR="00221B89" w:rsidRPr="003B14E9" w:rsidRDefault="00221B89" w:rsidP="00221B89">
            <w:pPr>
              <w:pStyle w:val="title-article-norm"/>
              <w:jc w:val="both"/>
              <w:rPr>
                <w:i w:val="0"/>
                <w:sz w:val="18"/>
                <w:szCs w:val="18"/>
                <w:lang w:val="ro-MD"/>
              </w:rPr>
            </w:pPr>
            <w:r w:rsidRPr="003B14E9">
              <w:rPr>
                <w:rFonts w:eastAsiaTheme="minorHAnsi"/>
                <w:i w:val="0"/>
                <w:iCs w:val="0"/>
                <w:color w:val="000000"/>
                <w:sz w:val="18"/>
                <w:szCs w:val="18"/>
                <w:lang w:val="ro-MD"/>
              </w:rPr>
              <w:t>Se deleagă Comisiei competenţa de a completa prezentul regulament prin adoptarea standardelor tehnice de reglementare menţionate la primul paragraf în conformitate cu articolele 10-14 din Regulamentul (UE) nr. 1093/2010.</w:t>
            </w:r>
          </w:p>
        </w:tc>
        <w:tc>
          <w:tcPr>
            <w:tcW w:w="4425" w:type="dxa"/>
            <w:shd w:val="clear" w:color="auto" w:fill="auto"/>
          </w:tcPr>
          <w:p w14:paraId="76A83646" w14:textId="77777777" w:rsidR="00221B89" w:rsidRPr="003B14E9" w:rsidRDefault="00221B89" w:rsidP="00221B89">
            <w:pPr>
              <w:tabs>
                <w:tab w:val="left" w:pos="0"/>
              </w:tabs>
              <w:autoSpaceDE w:val="0"/>
              <w:autoSpaceDN w:val="0"/>
              <w:adjustRightInd w:val="0"/>
              <w:spacing w:before="60" w:after="60"/>
              <w:jc w:val="center"/>
              <w:rPr>
                <w:rFonts w:eastAsiaTheme="minorHAnsi"/>
                <w:i/>
                <w:iCs/>
                <w:color w:val="000000"/>
                <w:sz w:val="18"/>
                <w:szCs w:val="18"/>
                <w:lang w:val="ro-MD" w:eastAsia="en-US"/>
                <w14:ligatures w14:val="standardContextual"/>
              </w:rPr>
            </w:pPr>
            <w:r w:rsidRPr="003B14E9">
              <w:rPr>
                <w:rFonts w:eastAsiaTheme="minorHAnsi"/>
                <w:i/>
                <w:iCs/>
                <w:color w:val="000000"/>
                <w:sz w:val="18"/>
                <w:szCs w:val="18"/>
                <w:lang w:val="ro-MD" w:eastAsia="en-US"/>
                <w14:ligatures w14:val="standardContextual"/>
              </w:rPr>
              <w:lastRenderedPageBreak/>
              <w:t xml:space="preserve">Secțiunea a 4-a </w:t>
            </w:r>
          </w:p>
          <w:p w14:paraId="2E3723A7" w14:textId="77777777" w:rsidR="00221B89" w:rsidRPr="003B14E9" w:rsidRDefault="00221B89" w:rsidP="00221B89">
            <w:pPr>
              <w:tabs>
                <w:tab w:val="left" w:pos="0"/>
              </w:tabs>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Încadrarea tranzacţiilor în categorii de risc</w:t>
            </w:r>
          </w:p>
          <w:p w14:paraId="145F79D7"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44.</w:t>
            </w:r>
            <w:r w:rsidRPr="003B14E9">
              <w:rPr>
                <w:rFonts w:eastAsiaTheme="minorHAnsi"/>
                <w:color w:val="000000"/>
                <w:sz w:val="18"/>
                <w:szCs w:val="18"/>
                <w:lang w:val="ro-MD" w:eastAsia="en-US"/>
                <w14:ligatures w14:val="standardContextual"/>
              </w:rPr>
              <w:t xml:space="preserve"> Băncile încadrează fiecare tranzacţie dintr-un set de compensare într-una din următoarele categorii de risc pentru a determina expunerea viitoare potenţială a setului de compensare menţionată la punctele 51-53: </w:t>
            </w:r>
          </w:p>
          <w:p w14:paraId="2DD1DB1D"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riscul de rată a dobânzii; </w:t>
            </w:r>
          </w:p>
          <w:p w14:paraId="66CFAF3D"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riscul valutar; </w:t>
            </w:r>
          </w:p>
          <w:p w14:paraId="4882B0D8"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3) riscul de credit; </w:t>
            </w:r>
          </w:p>
          <w:p w14:paraId="58C727B5"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4) riscul privind titlurile de capital; </w:t>
            </w:r>
          </w:p>
          <w:p w14:paraId="6B4B3167"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5) riscul de marfă; </w:t>
            </w:r>
          </w:p>
          <w:p w14:paraId="3EB336C7"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6) alte riscuri. </w:t>
            </w:r>
          </w:p>
          <w:p w14:paraId="7C493B98"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45.</w:t>
            </w:r>
            <w:r w:rsidRPr="003B14E9">
              <w:rPr>
                <w:rFonts w:eastAsiaTheme="minorHAnsi"/>
                <w:color w:val="000000"/>
                <w:sz w:val="18"/>
                <w:szCs w:val="18"/>
                <w:lang w:val="ro-MD" w:eastAsia="en-US"/>
                <w14:ligatures w14:val="standardContextual"/>
              </w:rPr>
              <w:t xml:space="preserve"> Băncile efectuează încadrarea menţionată la punctul 44 în funcţie de determinantul de risc principal al unei tranzacţii cu instrumente financiare derivate. Determinantul de risc principal este singurul determinant de risc semnificativ al unei tranzacţii cu instrumente financiare derivate. </w:t>
            </w:r>
          </w:p>
          <w:p w14:paraId="2080251D"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lastRenderedPageBreak/>
              <w:t>46.</w:t>
            </w:r>
            <w:r w:rsidRPr="003B14E9">
              <w:rPr>
                <w:rFonts w:eastAsiaTheme="minorHAnsi"/>
                <w:color w:val="000000"/>
                <w:sz w:val="18"/>
                <w:szCs w:val="18"/>
                <w:lang w:val="ro-MD" w:eastAsia="en-US"/>
                <w14:ligatures w14:val="standardContextual"/>
              </w:rPr>
              <w:t xml:space="preserve"> Prin derogare de la punctul 45, băncile încadrează tranzacţiile cu instrumente financiare derivate care au mai mult de un determinant de risc semnificativ în mai multe categorii de risc. În cazul în care toţi determinanţii de risc semnificativi ai uneia dintre aceste tranzacţii fac parte din aceeași categorie de risc, băncile nu sunt obligate să încadreze tranzacţia respectivă în categoria de risc respectivă decât o singură dată, pe baza celui mai semnificativ dintre determinanţii de risc. În cazul în care determinanţii de risc semnificativi ai uneia dintre aceste tranzacţii fac parte din categorii de risc diferite, băncile încadrează tranzacţia respectivă o singură dată în fiecare categorie de risc pentru care tranzacţia are cel puţin un determinant de risc semnificativ, pe baza celui mai semnificativ dintre determinanţii de risc din categoria de risc în cauză. </w:t>
            </w:r>
          </w:p>
          <w:p w14:paraId="6F1C9CC7"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47.</w:t>
            </w:r>
            <w:r w:rsidRPr="003B14E9">
              <w:rPr>
                <w:rFonts w:eastAsiaTheme="minorHAnsi"/>
                <w:color w:val="000000"/>
                <w:sz w:val="18"/>
                <w:szCs w:val="18"/>
                <w:lang w:val="ro-MD" w:eastAsia="en-US"/>
                <w14:ligatures w14:val="standardContextual"/>
              </w:rPr>
              <w:t xml:space="preserve"> În pofida punctelor 44-46, la încadrarea tranzacţiilor în categoriile de risc enumerate la punctul 33, băncile aplică următoarele cerinţe: </w:t>
            </w:r>
          </w:p>
          <w:p w14:paraId="37B776EE" w14:textId="77777777" w:rsidR="00221B89" w:rsidRPr="003B14E9" w:rsidRDefault="00221B89" w:rsidP="00221B89">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în cazul în care determinantul de risc principal al unei tranzacţii sau cel mai semnificativ determinant de risc într-o anumită categorie de risc pentru tranzacţiile menţionate la punctul 46 este o variabilă legată de inflaţie, băncile încadrează tranzacţia respectivă în categoria de risc de rată a dobânzii; </w:t>
            </w:r>
          </w:p>
          <w:p w14:paraId="2C68D14D" w14:textId="145A4D06" w:rsidR="00221B89" w:rsidRPr="003B14E9" w:rsidRDefault="00221B89" w:rsidP="00221B89">
            <w:pPr>
              <w:pStyle w:val="NoSpacing"/>
              <w:tabs>
                <w:tab w:val="left" w:pos="328"/>
              </w:tabs>
              <w:jc w:val="both"/>
              <w:rPr>
                <w:rFonts w:ascii="Times New Roman" w:hAnsi="Times New Roman" w:cs="Times New Roman"/>
                <w:b/>
                <w:bCs/>
                <w:sz w:val="18"/>
                <w:szCs w:val="18"/>
                <w:lang w:val="ro-MD"/>
              </w:rPr>
            </w:pPr>
            <w:r w:rsidRPr="003B14E9">
              <w:rPr>
                <w:rFonts w:ascii="Times New Roman" w:hAnsi="Times New Roman" w:cs="Times New Roman"/>
                <w:color w:val="000000"/>
                <w:sz w:val="18"/>
                <w:szCs w:val="18"/>
                <w:lang w:val="ro-MD"/>
                <w14:ligatures w14:val="standardContextual"/>
              </w:rPr>
              <w:t>2) în cazul în care determinantul de risc principal al unei tranzacţii sau cel mai semnificativ determinant de risc într-o anumită categorie de risc pentru tranzacţiile menţionate la punctul 46 este o variabilă legată de condiţiile climatice, băncile încadrează tranzacţia respectivă în categoria de risc de marfă.</w:t>
            </w:r>
          </w:p>
        </w:tc>
        <w:tc>
          <w:tcPr>
            <w:tcW w:w="1160" w:type="dxa"/>
          </w:tcPr>
          <w:p w14:paraId="4C325203" w14:textId="67499A5F" w:rsidR="00221B89" w:rsidRPr="003B14E9" w:rsidRDefault="00221B89" w:rsidP="00221B89">
            <w:pPr>
              <w:jc w:val="both"/>
              <w:rPr>
                <w:sz w:val="18"/>
                <w:szCs w:val="18"/>
                <w:lang w:val="ro-MD"/>
              </w:rPr>
            </w:pPr>
            <w:r w:rsidRPr="003B14E9">
              <w:rPr>
                <w:sz w:val="18"/>
                <w:szCs w:val="18"/>
                <w:lang w:val="ro-MD"/>
              </w:rPr>
              <w:lastRenderedPageBreak/>
              <w:t>Parțial compatibil</w:t>
            </w:r>
          </w:p>
        </w:tc>
        <w:tc>
          <w:tcPr>
            <w:tcW w:w="3041" w:type="dxa"/>
          </w:tcPr>
          <w:p w14:paraId="41810B2A" w14:textId="55E50576" w:rsidR="00221B89" w:rsidRPr="003B14E9" w:rsidRDefault="00221B89" w:rsidP="00221B89">
            <w:pPr>
              <w:rPr>
                <w:sz w:val="18"/>
                <w:szCs w:val="18"/>
                <w:highlight w:val="red"/>
                <w:lang w:val="ro-MD"/>
              </w:rPr>
            </w:pPr>
            <w:r w:rsidRPr="003B14E9">
              <w:rPr>
                <w:sz w:val="18"/>
                <w:szCs w:val="18"/>
                <w:lang w:val="ro-MD"/>
              </w:rPr>
              <w:t>Nu se transpune, deoarece ține de competența ABE.</w:t>
            </w:r>
          </w:p>
        </w:tc>
        <w:tc>
          <w:tcPr>
            <w:tcW w:w="1055" w:type="dxa"/>
            <w:tcBorders>
              <w:top w:val="single" w:sz="4" w:space="0" w:color="auto"/>
              <w:bottom w:val="single" w:sz="4" w:space="0" w:color="auto"/>
            </w:tcBorders>
          </w:tcPr>
          <w:p w14:paraId="0E962E71" w14:textId="0CF2B3B6" w:rsidR="00221B89" w:rsidRPr="003B14E9" w:rsidRDefault="00221B89" w:rsidP="00221B89">
            <w:pPr>
              <w:jc w:val="both"/>
              <w:rPr>
                <w:sz w:val="18"/>
                <w:szCs w:val="18"/>
                <w:lang w:val="ro-MD"/>
              </w:rPr>
            </w:pPr>
          </w:p>
        </w:tc>
        <w:tc>
          <w:tcPr>
            <w:tcW w:w="1330" w:type="dxa"/>
            <w:tcBorders>
              <w:bottom w:val="single" w:sz="4" w:space="0" w:color="auto"/>
            </w:tcBorders>
          </w:tcPr>
          <w:p w14:paraId="328052E8" w14:textId="77777777" w:rsidR="00221B89" w:rsidRPr="003B14E9" w:rsidRDefault="00221B89" w:rsidP="00221B89">
            <w:pPr>
              <w:jc w:val="both"/>
              <w:rPr>
                <w:sz w:val="18"/>
                <w:szCs w:val="18"/>
                <w:lang w:val="ro-MD"/>
              </w:rPr>
            </w:pPr>
          </w:p>
        </w:tc>
      </w:tr>
      <w:tr w:rsidR="00463AF3" w:rsidRPr="003B14E9" w14:paraId="25DD5FF7" w14:textId="77777777" w:rsidTr="00604EF1">
        <w:trPr>
          <w:trHeight w:val="918"/>
        </w:trPr>
        <w:tc>
          <w:tcPr>
            <w:tcW w:w="4473" w:type="dxa"/>
          </w:tcPr>
          <w:p w14:paraId="4300FE14" w14:textId="193F3A5C"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i/>
                <w:iCs/>
                <w:color w:val="000000"/>
                <w:sz w:val="18"/>
                <w:szCs w:val="18"/>
                <w:lang w:val="ro-MD" w:eastAsia="en-US"/>
              </w:rPr>
              <w:lastRenderedPageBreak/>
              <w:t>Articolul 277a</w:t>
            </w:r>
            <w:r w:rsidR="00415A32" w:rsidRPr="003B14E9">
              <w:rPr>
                <w:rFonts w:eastAsiaTheme="minorHAnsi"/>
                <w:i/>
                <w:iCs/>
                <w:color w:val="000000"/>
                <w:sz w:val="18"/>
                <w:szCs w:val="18"/>
                <w:lang w:val="ro-MD" w:eastAsia="en-US"/>
              </w:rPr>
              <w:t xml:space="preserve"> </w:t>
            </w:r>
            <w:r w:rsidRPr="003B14E9">
              <w:rPr>
                <w:rFonts w:eastAsiaTheme="minorHAnsi"/>
                <w:b/>
                <w:bCs/>
                <w:color w:val="000000"/>
                <w:sz w:val="18"/>
                <w:szCs w:val="18"/>
                <w:lang w:val="ro-MD" w:eastAsia="en-US"/>
              </w:rPr>
              <w:t xml:space="preserve">Seturi de acoperire a riscului </w:t>
            </w:r>
          </w:p>
          <w:p w14:paraId="1820184A"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(1) Instituţiile stabilesc seturile de acoperire a riscului relevante pentru fiecare categorie de risc a unui set de compensare și atribuie fiecare tranzacţie acestor seturi de acoperire a riscului, după cum urmează: </w:t>
            </w:r>
          </w:p>
          <w:p w14:paraId="22508C40"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(a) tranzacţiile încadrate în categoria de risc de rată a dobânzii se atribuie aceluiași set de acoperire a riscului numai în cazul în care determinantul lor de risc principal sau cel mai semnificativ determinant de risc într-o anumită categorie de risc pentru tranzacţiile menţionate la articolul 277 alineatul (3) este denominat în aceeași monedă; </w:t>
            </w:r>
          </w:p>
          <w:p w14:paraId="07214407"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(b) tranzacţiile încadrate în categoria de risc valutar se atribuie aceluiași set de acoperire a riscului numai în cazul în care determinantul lor de risc principal sau cel mai semnificativ determinant de risc într-o anumită categorie de risc pentru tranzacţiile menţionate la articolul 277 alineatul (3) se bazează pe aceeași pereche de monede; </w:t>
            </w:r>
          </w:p>
          <w:p w14:paraId="223B6CAE"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(c) toate tranzacţiile încadrate în categoria de risc de credit se atribuie aceluiași set de acoperire a riscului; </w:t>
            </w:r>
          </w:p>
          <w:p w14:paraId="5CC50229"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lastRenderedPageBreak/>
              <w:t xml:space="preserve">(d) toate tranzacţiile încadrate în categoria de risc privind titlurile de capital se atribuie aceluiași set de acoperire a riscului; </w:t>
            </w:r>
          </w:p>
          <w:p w14:paraId="0CF0CC85"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(e) tranzacţiile încadrate în categoria de risc de marfă se atribuie unuia din următoarele seturi de acoperire a riscului în funcţie de natura determinantului lor de risc principal sau cel mai semnificativ determinant de risc într-o anumită categorie de risc pentru tranzacţiile menţionate la articolul 277 alineatul (3): </w:t>
            </w:r>
          </w:p>
          <w:p w14:paraId="0CE2B3D5"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(i) energie; </w:t>
            </w:r>
          </w:p>
          <w:p w14:paraId="7019979E"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(ii) metale; </w:t>
            </w:r>
          </w:p>
          <w:p w14:paraId="20DA6CCE"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(iii) produse agricole; </w:t>
            </w:r>
          </w:p>
          <w:p w14:paraId="768CDD98"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(iv) alte mărfuri; </w:t>
            </w:r>
          </w:p>
          <w:p w14:paraId="151E0A5B"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(v) condiţii climatice; </w:t>
            </w:r>
          </w:p>
          <w:p w14:paraId="3C7FFB88"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(f) tranzacţiile încadrate în alte categorii de risc se atribuie aceluiași set de acoperire a riscului numai în cazul în care determinantul lor de risc principal sau cel mai semnificativ determinant de risc într-o anumită categorie de risc pentru tranzacţiile menţionate la articolul 277 alineatul (3) este identic. </w:t>
            </w:r>
          </w:p>
          <w:p w14:paraId="14E16C45"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În sensul primului paragraf litera (a) de la prezentul alineat, tranzacţiile încadrate în categoria de risc de rată a dobânzii care au ca determinant de risc principal o variabilă legată de inflaţie se atribuie unor seturi de acoperire a riscului distincte, altele decât seturile de acoperire a riscului stabilite pentru tranzacţiile încadrate în categoria de risc de rată a dobânzii care nu au ca determinant de risc principal o variabilă legată de inflaţie. Tranzacţiile respective se atribuie aceluiași set de acoperire a riscului numai în cazul în care determinantul lor de risc principal sau cel mai semnificativ determinant de risc într-o anumită categorie de risc pentru tranzacţiile </w:t>
            </w:r>
            <w:r w:rsidRPr="003B14E9">
              <w:rPr>
                <w:rFonts w:eastAsiaTheme="minorHAnsi"/>
                <w:color w:val="000000"/>
                <w:sz w:val="18"/>
                <w:szCs w:val="18"/>
                <w:lang w:val="ro-MD" w:eastAsia="en-US"/>
              </w:rPr>
              <w:lastRenderedPageBreak/>
              <w:t xml:space="preserve">menţionate la articolul 277 alineatul (3) este denominat în aceeași monedă. </w:t>
            </w:r>
          </w:p>
          <w:p w14:paraId="27036112"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(2) Prin derogare de la alineatul (1) de la prezentul articol, instituţiile stabilesc seturi de acoperire a riscului distincte în fiecare categorie de risc pentru următoarele tranzacţii: </w:t>
            </w:r>
          </w:p>
          <w:p w14:paraId="47AFA663"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(a) tranzacţiile pentru care determinantul de risc principal sau cel mai semnificativ determinant de risc într-o anumită categorie de risc pentru tranzacţiile menţionate la articolul 277 alineatul (3) este fie volatilitatea de piaţă implicită sau volatilitatea realizată a unui determinant de risc, fie corelaţia dintre doi determinanţi de risc; </w:t>
            </w:r>
          </w:p>
          <w:p w14:paraId="388EFC4E"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(b) tranzacţiile pentru care determinantul de risc principal sau cel mai semnificativ determinant de risc într-o anumită categorie de risc pentru tranzacţiile menţionate la articolul 277 alineatul (3) este reprezentat de diferenţa dintre doi determinanţi de risc încadraţi în aceeași categorie de risc sau tranzacţiile care constau în două segmente de plată denominate în aceeași monedă și pentru care un determinant de risc din aceeași categorie de risc ca și principalul determinant de risc este inclus în celălalt segment de plată decât cel care conţine determinantul de risc principal. </w:t>
            </w:r>
          </w:p>
          <w:p w14:paraId="60721C18"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În sensul literei (a) de la primul paragraf de la prezentul alineat, instituţiile atribuie tranzacţiile aceluiași set de acoperire a riscului din categoria de risc relevantă numai în cazul în care determinantul de risc principal al acestora sau cel mai semnificativ determinant de risc într-o anumită categorie de risc pentru tranzacţiile menţionate la articolul 277 alineatul (3) este identic. </w:t>
            </w:r>
          </w:p>
          <w:p w14:paraId="14ACA3CE"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În sensul literei (b) de la primul paragraf, instituţiile atribuie tranzacţiile aceluiași set de acoperire a riscului din categoria de risc relevantă numai în cazul în care perechea de determinanţi de risc din tranzacţiile menţionate la litera (b) este identică, iar între cei doi determinanţi de risc care fac parte din pereche există o corelaţie pozitivă. În caz contrar, instituţiile atribuie tranzacţiile menţionate la </w:t>
            </w:r>
            <w:r w:rsidRPr="003B14E9">
              <w:rPr>
                <w:rFonts w:eastAsiaTheme="minorHAnsi"/>
                <w:color w:val="000000"/>
                <w:sz w:val="18"/>
                <w:szCs w:val="18"/>
                <w:lang w:val="ro-MD" w:eastAsia="en-US"/>
              </w:rPr>
              <w:lastRenderedPageBreak/>
              <w:t xml:space="preserve">primul paragraf litera (b) unuia dintre seturile de acoperire a riscului stabilite în conformitate cu alineatul (1), doar pe baza unuia dintre cei doi determinanţi de risc menţionaţi la primul paragraf litera (b). </w:t>
            </w:r>
          </w:p>
          <w:p w14:paraId="4BB86B94" w14:textId="3E14DC92" w:rsidR="00463AF3" w:rsidRPr="003B14E9" w:rsidRDefault="00463AF3" w:rsidP="00463AF3">
            <w:pPr>
              <w:pStyle w:val="title-article-norm"/>
              <w:jc w:val="both"/>
              <w:rPr>
                <w:i w:val="0"/>
                <w:sz w:val="18"/>
                <w:szCs w:val="18"/>
                <w:lang w:val="ro-MD"/>
              </w:rPr>
            </w:pPr>
            <w:r w:rsidRPr="003B14E9">
              <w:rPr>
                <w:rFonts w:eastAsiaTheme="minorHAnsi"/>
                <w:i w:val="0"/>
                <w:iCs w:val="0"/>
                <w:color w:val="000000"/>
                <w:sz w:val="18"/>
                <w:szCs w:val="18"/>
                <w:lang w:val="ro-MD"/>
              </w:rPr>
              <w:t>(3) Instituţiile pun la dispoziţie, la cererea autorităţilor competente, numărul de seturi de acoperire a riscului stabilite în conformitate cu alineatul (2) de la prezentul articol pentru fiecare categorie de risc, împreună cu determinantul de risc principal sau cel mai semnificativ determinant de risc într-o anumită categorie de risc pentru tranzacţiile menţionate la articolul 277 alineatul (3) sau perechea de determinanţi de risc aferentă fiecăruia dintre seturile de acoperire a riscului respective și cu numărul de tranzacţii din cadrul fiecărui set de acoperire a riscului.</w:t>
            </w:r>
          </w:p>
        </w:tc>
        <w:tc>
          <w:tcPr>
            <w:tcW w:w="4425" w:type="dxa"/>
            <w:shd w:val="clear" w:color="auto" w:fill="auto"/>
          </w:tcPr>
          <w:p w14:paraId="415E927F" w14:textId="77777777" w:rsidR="00463AF3" w:rsidRPr="003B14E9" w:rsidRDefault="00463AF3" w:rsidP="00463AF3">
            <w:pPr>
              <w:autoSpaceDE w:val="0"/>
              <w:autoSpaceDN w:val="0"/>
              <w:adjustRightInd w:val="0"/>
              <w:spacing w:before="60" w:after="60"/>
              <w:jc w:val="center"/>
              <w:rPr>
                <w:rFonts w:eastAsiaTheme="minorHAnsi"/>
                <w:i/>
                <w:iCs/>
                <w:color w:val="000000"/>
                <w:sz w:val="18"/>
                <w:szCs w:val="18"/>
                <w:lang w:val="ro-MD" w:eastAsia="en-US"/>
                <w14:ligatures w14:val="standardContextual"/>
              </w:rPr>
            </w:pPr>
            <w:r w:rsidRPr="003B14E9">
              <w:rPr>
                <w:rFonts w:eastAsiaTheme="minorHAnsi"/>
                <w:i/>
                <w:iCs/>
                <w:color w:val="000000"/>
                <w:sz w:val="18"/>
                <w:szCs w:val="18"/>
                <w:lang w:val="ro-MD" w:eastAsia="en-US"/>
                <w14:ligatures w14:val="standardContextual"/>
              </w:rPr>
              <w:lastRenderedPageBreak/>
              <w:t>Secțiunea a 5-a</w:t>
            </w:r>
          </w:p>
          <w:p w14:paraId="6426FA96" w14:textId="77777777" w:rsidR="00463AF3" w:rsidRPr="003B14E9" w:rsidRDefault="00463AF3" w:rsidP="00463AF3">
            <w:pPr>
              <w:autoSpaceDE w:val="0"/>
              <w:autoSpaceDN w:val="0"/>
              <w:adjustRightInd w:val="0"/>
              <w:spacing w:before="60" w:after="60"/>
              <w:jc w:val="center"/>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Seturi de acoperire a riscului</w:t>
            </w:r>
          </w:p>
          <w:p w14:paraId="46682E46"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48.</w:t>
            </w:r>
            <w:r w:rsidRPr="003B14E9">
              <w:rPr>
                <w:rFonts w:eastAsiaTheme="minorHAnsi"/>
                <w:color w:val="000000"/>
                <w:sz w:val="18"/>
                <w:szCs w:val="18"/>
                <w:lang w:val="ro-MD" w:eastAsia="en-US"/>
                <w14:ligatures w14:val="standardContextual"/>
              </w:rPr>
              <w:t xml:space="preserve"> Băncile stabilesc seturile de acoperire a riscului relevante pentru fiecare categorie de risc a unui set de compensare și atribuie fiecare tranzacţie acestor seturi de acoperire a riscului, după cum urmează: </w:t>
            </w:r>
          </w:p>
          <w:p w14:paraId="25C40ED8"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tranzacţiile încadrate în categoria de risc de rată a dobânzii se atribuie aceluiași set de acoperire a riscului numai în cazul în care determinantul lor de risc principal sau cel mai semnificativ determinant de risc într-o anumită categorie de risc pentru tranzacţiile menţionate la punctul 46 este denominat în aceeași monedă; </w:t>
            </w:r>
          </w:p>
          <w:p w14:paraId="6D7A3F05"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tranzacţiile încadrate în categoria de risc valutar se atribuie aceluiași set de acoperire a riscului numai în cazul în care determinantul lor de risc principal sau cel mai semnificativ determinant de risc într-o anumită categorie de risc pentru tranzacţiile menţionate la punctul 46 se bazează pe aceeași pereche de monede; </w:t>
            </w:r>
          </w:p>
          <w:p w14:paraId="05D098C2"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3) toate tranzacţiile încadrate în categoria de risc de credit se atribuie aceluiași set de acoperire a riscului; </w:t>
            </w:r>
          </w:p>
          <w:p w14:paraId="2E80FA5B"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 xml:space="preserve">4) toate tranzacţiile încadrate în categoria de risc privind titlurile de capital se atribuie aceluiași set de acoperire a riscului; </w:t>
            </w:r>
          </w:p>
          <w:p w14:paraId="25115186"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5) tranzacţiile încadrate în categoria de risc de marfă se atribuie unuia din următoarele seturi de acoperire a riscului în funcţie de natura determinantului lor de risc principal sau cel mai semnificativ determinant de risc într-o anumită categorie de risc pentru tranzacţiile menţionate la punctul 46: </w:t>
            </w:r>
          </w:p>
          <w:p w14:paraId="24713AB4"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a) energie; </w:t>
            </w:r>
          </w:p>
          <w:p w14:paraId="26E5C7A3"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b) metale; </w:t>
            </w:r>
          </w:p>
          <w:p w14:paraId="58286D30"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c) produse agricole; </w:t>
            </w:r>
          </w:p>
          <w:p w14:paraId="21F1B463"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d) alte mărfuri; </w:t>
            </w:r>
          </w:p>
          <w:p w14:paraId="50A20DA9"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e) condiţii climatice; </w:t>
            </w:r>
          </w:p>
          <w:p w14:paraId="73F2E21C"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6) tranzacţiile încadrate în alte categorii de risc se atribuie aceluiași set de acoperire a riscului numai în cazul în care determinantul lor de risc principal sau cel mai semnificativ determinant de risc într-o anumită categorie de risc pentru tranzacţiile menţionate la punctul 46 este identic. </w:t>
            </w:r>
          </w:p>
          <w:p w14:paraId="47D94495" w14:textId="77777777" w:rsidR="00463AF3" w:rsidRPr="003B14E9" w:rsidRDefault="00463AF3" w:rsidP="00463AF3">
            <w:pPr>
              <w:autoSpaceDE w:val="0"/>
              <w:autoSpaceDN w:val="0"/>
              <w:adjustRightInd w:val="0"/>
              <w:spacing w:before="60" w:after="60"/>
              <w:ind w:firstLine="567"/>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sensul punctului 48 subpunctul 1), tranzacţiile încadrate în categoria de risc de rată a dobânzii care au ca determinant de risc principal o variabilă legată de inflaţie se atribuie unor seturi de acoperire a riscului distincte, altele decât seturile de acoperire a riscului stabilite pentru tranzacţiile încadrate în categoria de risc de rată a dobânzii care nu au ca determinant de risc principal o variabilă legată de inflaţie. Tranzacţiile respective se atribuie aceluiași set de acoperire a riscului numai în cazul în care determinantul lor de risc principal sau cel mai semnificativ determinant de risc într-o anumită categorie de risc pentru tranzacţiile menţionate la punctul 46 este denominat în aceeași monedă. </w:t>
            </w:r>
          </w:p>
          <w:p w14:paraId="7528DE12"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lastRenderedPageBreak/>
              <w:t>49.</w:t>
            </w:r>
            <w:r w:rsidRPr="003B14E9">
              <w:rPr>
                <w:rFonts w:eastAsiaTheme="minorHAnsi"/>
                <w:color w:val="000000"/>
                <w:sz w:val="18"/>
                <w:szCs w:val="18"/>
                <w:lang w:val="ro-MD" w:eastAsia="en-US"/>
                <w14:ligatures w14:val="standardContextual"/>
              </w:rPr>
              <w:t xml:space="preserve"> Prin derogare de la punctul 48, băncile stabilesc seturi de acoperire a riscului distincte în fiecare categorie de risc pentru următoarele tranzacţii: </w:t>
            </w:r>
          </w:p>
          <w:p w14:paraId="3BDC3F7E" w14:textId="77777777" w:rsidR="00463AF3" w:rsidRPr="003B14E9" w:rsidRDefault="00463AF3" w:rsidP="00463AF3">
            <w:pPr>
              <w:autoSpaceDE w:val="0"/>
              <w:autoSpaceDN w:val="0"/>
              <w:adjustRightInd w:val="0"/>
              <w:spacing w:before="60" w:after="60"/>
              <w:ind w:firstLine="567"/>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tranzacţiile pentru care determinantul de risc principal sau cel mai semnificativ determinant de risc într-o anumită categorie de risc pentru tranzacţiile menţionate la punctul 46 este fie volatilitatea de piaţă implicită sau volatilitatea realizată a unui determinant de risc, fie corelaţia dintre doi determinanţi de risc; </w:t>
            </w:r>
          </w:p>
          <w:p w14:paraId="0B7C8E6E" w14:textId="77777777" w:rsidR="00463AF3" w:rsidRPr="003B14E9" w:rsidRDefault="00463AF3" w:rsidP="00463AF3">
            <w:pPr>
              <w:autoSpaceDE w:val="0"/>
              <w:autoSpaceDN w:val="0"/>
              <w:adjustRightInd w:val="0"/>
              <w:spacing w:before="60" w:after="60"/>
              <w:ind w:firstLine="567"/>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tranzacţiile pentru care determinantul de risc principal sau cel mai semnificativ determinant de risc într-o anumită categorie de risc pentru tranzacţiile menţionate la punctul 46 este reprezentat de diferenţa dintre doi determinanţi de risc încadraţi în aceeași categorie de risc sau tranzacţiile care constau în două segmente de plată denominate în aceeași monedă și pentru care un determinant de risc din aceeași categorie de risc ca și principalul determinant de risc este inclus în celălalt segment de plată decât cel care conţine determinantul de risc principal. </w:t>
            </w:r>
          </w:p>
          <w:p w14:paraId="4470DAA4"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sensul subpunctului 1), băncile atribuie tranzacţiile aceluiași set de acoperire a riscului din categoria de risc relevantă numai în cazul în care determinantul de risc principal al acestora sau cel mai semnificativ determinant de risc într-o anumită categorie de risc pentru tranzacţiile menţionate la punctul 46 este identic. </w:t>
            </w:r>
          </w:p>
          <w:p w14:paraId="3880A6C3" w14:textId="77777777" w:rsidR="00463AF3" w:rsidRPr="003B14E9" w:rsidRDefault="00463AF3" w:rsidP="00463AF3">
            <w:pPr>
              <w:autoSpaceDE w:val="0"/>
              <w:autoSpaceDN w:val="0"/>
              <w:adjustRightInd w:val="0"/>
              <w:spacing w:before="60" w:after="6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În sensul subpunctului 2), băncile atribuie tranzacţiile aceluiași set de acoperire a riscului din categoria de risc relevantă numai în cazul în care perechea de determinanţi de risc din tranzacţiile menţionate la subpunctul 2) este identică, iar între cei doi determinanţi de risc care fac parte din pereche există o corelaţie pozitivă. În caz contrar, băncile atribuie tranzacţiile menţionate la subpunctul 2) unuia dintre seturile de acoperire a riscului stabilite în conformitate cu punctul 48 doar pe baza unuia dintre cei doi determinanţi de risc menţionaţi la subpunctul 2).</w:t>
            </w:r>
          </w:p>
          <w:p w14:paraId="7D03D9A3" w14:textId="3A8A50DF" w:rsidR="00463AF3" w:rsidRPr="003B14E9" w:rsidRDefault="00463AF3" w:rsidP="00463AF3">
            <w:pPr>
              <w:pStyle w:val="NoSpacing"/>
              <w:tabs>
                <w:tab w:val="left" w:pos="328"/>
              </w:tabs>
              <w:jc w:val="both"/>
              <w:rPr>
                <w:rFonts w:ascii="Times New Roman" w:hAnsi="Times New Roman" w:cs="Times New Roman"/>
                <w:b/>
                <w:bCs/>
                <w:sz w:val="18"/>
                <w:szCs w:val="18"/>
                <w:lang w:val="ro-MD"/>
              </w:rPr>
            </w:pPr>
            <w:r w:rsidRPr="003B14E9">
              <w:rPr>
                <w:rFonts w:ascii="Times New Roman" w:hAnsi="Times New Roman" w:cs="Times New Roman"/>
                <w:b/>
                <w:bCs/>
                <w:color w:val="000000"/>
                <w:sz w:val="18"/>
                <w:szCs w:val="18"/>
                <w:lang w:val="ro-MD"/>
                <w14:ligatures w14:val="standardContextual"/>
              </w:rPr>
              <w:lastRenderedPageBreak/>
              <w:t xml:space="preserve">50. </w:t>
            </w:r>
            <w:r w:rsidRPr="003B14E9">
              <w:rPr>
                <w:rFonts w:ascii="Times New Roman" w:hAnsi="Times New Roman" w:cs="Times New Roman"/>
                <w:color w:val="000000"/>
                <w:sz w:val="18"/>
                <w:szCs w:val="18"/>
                <w:lang w:val="ro-MD"/>
                <w14:ligatures w14:val="standardContextual"/>
              </w:rPr>
              <w:t xml:space="preserve">Băncile pun la dispoziţie, la cererea Băncii Naționale a Moldovei, numărul de seturi de acoperire a riscului stabilite în conformitate cu punctul 49 de la prezenta secțiune pentru fiecare categorie de risc, împreună cu determinantul de risc principal sau cel mai semnificativ determinant de risc într-o anumită categorie de risc pentru tranzacţiile menţionate la punctul 46 sau perechea de determinanţi de risc aferentă fiecăruia dintre seturile de acoperire a riscului respective și cu numărul de tranzacţii din cadrul fiecărui set de acoperire a riscului. </w:t>
            </w:r>
          </w:p>
        </w:tc>
        <w:tc>
          <w:tcPr>
            <w:tcW w:w="1160" w:type="dxa"/>
          </w:tcPr>
          <w:p w14:paraId="17C1505B" w14:textId="674D402B" w:rsidR="00463AF3" w:rsidRPr="003B14E9" w:rsidRDefault="00463AF3" w:rsidP="00463AF3">
            <w:pPr>
              <w:jc w:val="both"/>
              <w:rPr>
                <w:sz w:val="18"/>
                <w:szCs w:val="18"/>
                <w:lang w:val="ro-MD"/>
              </w:rPr>
            </w:pPr>
            <w:r w:rsidRPr="003B14E9">
              <w:rPr>
                <w:sz w:val="18"/>
                <w:szCs w:val="18"/>
                <w:lang w:val="ro-MD"/>
              </w:rPr>
              <w:lastRenderedPageBreak/>
              <w:t>Compatibil</w:t>
            </w:r>
          </w:p>
        </w:tc>
        <w:tc>
          <w:tcPr>
            <w:tcW w:w="3041" w:type="dxa"/>
          </w:tcPr>
          <w:p w14:paraId="6E347C90" w14:textId="77777777" w:rsidR="00463AF3" w:rsidRPr="003B14E9" w:rsidRDefault="00463AF3" w:rsidP="00463AF3">
            <w:pPr>
              <w:rPr>
                <w:sz w:val="18"/>
                <w:szCs w:val="18"/>
                <w:highlight w:val="red"/>
                <w:lang w:val="ro-MD"/>
              </w:rPr>
            </w:pPr>
          </w:p>
        </w:tc>
        <w:tc>
          <w:tcPr>
            <w:tcW w:w="1055" w:type="dxa"/>
            <w:tcBorders>
              <w:top w:val="single" w:sz="4" w:space="0" w:color="auto"/>
              <w:bottom w:val="single" w:sz="4" w:space="0" w:color="auto"/>
            </w:tcBorders>
          </w:tcPr>
          <w:p w14:paraId="6E9B816B" w14:textId="77777777" w:rsidR="00463AF3" w:rsidRPr="003B14E9" w:rsidRDefault="00463AF3" w:rsidP="00463AF3">
            <w:pPr>
              <w:jc w:val="both"/>
              <w:rPr>
                <w:sz w:val="18"/>
                <w:szCs w:val="18"/>
                <w:lang w:val="ro-MD"/>
              </w:rPr>
            </w:pPr>
          </w:p>
        </w:tc>
        <w:tc>
          <w:tcPr>
            <w:tcW w:w="1330" w:type="dxa"/>
            <w:tcBorders>
              <w:bottom w:val="single" w:sz="4" w:space="0" w:color="auto"/>
            </w:tcBorders>
          </w:tcPr>
          <w:p w14:paraId="5EC0CF4B" w14:textId="77777777" w:rsidR="00463AF3" w:rsidRPr="003B14E9" w:rsidRDefault="00463AF3" w:rsidP="00463AF3">
            <w:pPr>
              <w:jc w:val="both"/>
              <w:rPr>
                <w:sz w:val="18"/>
                <w:szCs w:val="18"/>
                <w:lang w:val="ro-MD"/>
              </w:rPr>
            </w:pPr>
          </w:p>
        </w:tc>
      </w:tr>
      <w:tr w:rsidR="00463AF3" w:rsidRPr="003B14E9" w14:paraId="30B1C8DC" w14:textId="77777777" w:rsidTr="00604EF1">
        <w:trPr>
          <w:trHeight w:val="918"/>
        </w:trPr>
        <w:tc>
          <w:tcPr>
            <w:tcW w:w="4473" w:type="dxa"/>
          </w:tcPr>
          <w:p w14:paraId="014925E1" w14:textId="3FA442A2"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i/>
                <w:iCs/>
                <w:color w:val="000000"/>
                <w:sz w:val="18"/>
                <w:szCs w:val="18"/>
                <w:lang w:val="ro-MD" w:eastAsia="en-US"/>
              </w:rPr>
              <w:lastRenderedPageBreak/>
              <w:t xml:space="preserve">Articolul 278 </w:t>
            </w:r>
            <w:r w:rsidRPr="003B14E9">
              <w:rPr>
                <w:rFonts w:eastAsiaTheme="minorHAnsi"/>
                <w:b/>
                <w:bCs/>
                <w:color w:val="000000"/>
                <w:sz w:val="18"/>
                <w:szCs w:val="18"/>
                <w:lang w:val="ro-MD" w:eastAsia="en-US"/>
              </w:rPr>
              <w:t xml:space="preserve">Expunerea viitoare potenţială </w:t>
            </w:r>
          </w:p>
          <w:p w14:paraId="6E3EE906"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(1) Instituţiile calculează expunerea viitoare potenţială a unui set de compensare după cum urmează: </w:t>
            </w:r>
          </w:p>
          <w:p w14:paraId="7E7E8589"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noProof/>
                <w:color w:val="000000"/>
                <w:sz w:val="18"/>
                <w:szCs w:val="18"/>
                <w:lang w:val="en-US" w:eastAsia="en-US"/>
              </w:rPr>
              <w:drawing>
                <wp:inline distT="0" distB="0" distL="0" distR="0" wp14:anchorId="7AB7E79C" wp14:editId="7C3D4580">
                  <wp:extent cx="1595887" cy="272337"/>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6245" cy="274105"/>
                          </a:xfrm>
                          <a:prstGeom prst="rect">
                            <a:avLst/>
                          </a:prstGeom>
                          <a:noFill/>
                        </pic:spPr>
                      </pic:pic>
                    </a:graphicData>
                  </a:graphic>
                </wp:inline>
              </w:drawing>
            </w:r>
            <w:r w:rsidRPr="003B14E9">
              <w:rPr>
                <w:rFonts w:eastAsiaTheme="minorHAnsi"/>
                <w:color w:val="000000"/>
                <w:sz w:val="18"/>
                <w:szCs w:val="18"/>
                <w:lang w:val="ro-MD" w:eastAsia="en-US"/>
              </w:rPr>
              <w:t xml:space="preserve"> </w:t>
            </w:r>
          </w:p>
          <w:p w14:paraId="56D5D5F9"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unde: </w:t>
            </w:r>
          </w:p>
          <w:p w14:paraId="647E9F60"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PFE = expunerea viitoare potenţială; </w:t>
            </w:r>
          </w:p>
          <w:p w14:paraId="68B5119F"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a = indicele care desemnează categoriile de risc incluse în calculul expunerii viitoare potenţiale a setului de compensare; </w:t>
            </w:r>
          </w:p>
          <w:p w14:paraId="0571E23F"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AddOn </w:t>
            </w:r>
            <w:r w:rsidRPr="003B14E9">
              <w:rPr>
                <w:rFonts w:eastAsiaTheme="minorHAnsi"/>
                <w:color w:val="000000"/>
                <w:sz w:val="18"/>
                <w:szCs w:val="18"/>
                <w:vertAlign w:val="superscript"/>
                <w:lang w:val="ro-MD" w:eastAsia="en-US"/>
              </w:rPr>
              <w:t>(a)</w:t>
            </w:r>
            <w:r w:rsidRPr="003B14E9">
              <w:rPr>
                <w:rFonts w:eastAsiaTheme="minorHAnsi"/>
                <w:color w:val="000000"/>
                <w:sz w:val="18"/>
                <w:szCs w:val="18"/>
                <w:lang w:val="ro-MD" w:eastAsia="en-US"/>
              </w:rPr>
              <w:t xml:space="preserve"> = majorarea pentru categoria de risc a cal- culată în conformitate cu articolele 280a- 280f, după caz; și </w:t>
            </w:r>
          </w:p>
          <w:p w14:paraId="7D014A6C"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multiplicator (multiplier) = factorul de multiplicare calculat în conformitate cu formula menţionată la alineatul (3). </w:t>
            </w:r>
          </w:p>
          <w:p w14:paraId="359112A3"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lastRenderedPageBreak/>
              <w:t xml:space="preserve">În scopul acestui calcul, instituţiile includ majorarea (add-on) aferentă unei anumite categorii de risc în calculul expunerii viitoare potenţiale a unui set de compensare în cazul în care cel puţin o tranzacţie din setul de compensare a fost încadrată în categoria de risc respectivă. </w:t>
            </w:r>
          </w:p>
          <w:p w14:paraId="1984C55E"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(2) Expunerea viitoare potenţială a seturilor de compensare multiple care fac obiectul unui singur contract în marjă, astfel cum se menţionează la articolul 275 alineatul (3), se calculează ca suma expunerilor viitoare potenţiale a tuturor seturilor de compensare individuale ca și cum nu ar face obiectul niciunei forme de contract în marjă. </w:t>
            </w:r>
          </w:p>
          <w:p w14:paraId="15946BEF"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(3) În scopul alineatului (1), multiplicatorul se calculează după cum urmează: </w:t>
            </w:r>
          </w:p>
          <w:tbl>
            <w:tblPr>
              <w:tblStyle w:val="TableGrid"/>
              <w:tblW w:w="4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4"/>
              <w:gridCol w:w="425"/>
              <w:gridCol w:w="2028"/>
              <w:gridCol w:w="1091"/>
            </w:tblGrid>
            <w:tr w:rsidR="00463AF3" w:rsidRPr="003B14E9" w14:paraId="75CB458C" w14:textId="77777777" w:rsidTr="00B11411">
              <w:trPr>
                <w:trHeight w:val="75"/>
              </w:trPr>
              <w:tc>
                <w:tcPr>
                  <w:tcW w:w="764" w:type="dxa"/>
                  <w:vMerge w:val="restart"/>
                </w:tcPr>
                <w:p w14:paraId="79FD7FEB" w14:textId="77777777" w:rsidR="00463AF3" w:rsidRPr="003B14E9" w:rsidRDefault="00463AF3" w:rsidP="00463AF3">
                  <w:pPr>
                    <w:pStyle w:val="Default"/>
                    <w:rPr>
                      <w:rFonts w:ascii="Times New Roman" w:hAnsi="Times New Roman" w:cs="Times New Roman"/>
                      <w:sz w:val="18"/>
                      <w:szCs w:val="18"/>
                    </w:rPr>
                  </w:pPr>
                </w:p>
                <w:p w14:paraId="0D21613F"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multiplicator =</w:t>
                  </w:r>
                </w:p>
                <w:p w14:paraId="549C5F90" w14:textId="77777777" w:rsidR="00463AF3" w:rsidRPr="003B14E9" w:rsidRDefault="00463AF3" w:rsidP="00463AF3">
                  <w:pPr>
                    <w:pStyle w:val="Default"/>
                    <w:rPr>
                      <w:rFonts w:ascii="Times New Roman" w:hAnsi="Times New Roman" w:cs="Times New Roman"/>
                      <w:sz w:val="18"/>
                      <w:szCs w:val="18"/>
                    </w:rPr>
                  </w:pPr>
                </w:p>
              </w:tc>
              <w:tc>
                <w:tcPr>
                  <w:tcW w:w="425" w:type="dxa"/>
                  <w:vMerge w:val="restart"/>
                </w:tcPr>
                <w:p w14:paraId="0E0B0190"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w:t>
                  </w:r>
                </w:p>
              </w:tc>
              <w:tc>
                <w:tcPr>
                  <w:tcW w:w="3119" w:type="dxa"/>
                  <w:gridSpan w:val="2"/>
                </w:tcPr>
                <w:p w14:paraId="5747BA84"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1 dacă z ≥ 0</w:t>
                  </w:r>
                </w:p>
              </w:tc>
            </w:tr>
            <w:tr w:rsidR="00463AF3" w:rsidRPr="003B14E9" w14:paraId="6C0DC30B" w14:textId="77777777" w:rsidTr="00B11411">
              <w:trPr>
                <w:trHeight w:val="39"/>
              </w:trPr>
              <w:tc>
                <w:tcPr>
                  <w:tcW w:w="764" w:type="dxa"/>
                  <w:vMerge/>
                </w:tcPr>
                <w:p w14:paraId="123805C5" w14:textId="77777777" w:rsidR="00463AF3" w:rsidRPr="003B14E9" w:rsidRDefault="00463AF3" w:rsidP="00463AF3">
                  <w:pPr>
                    <w:pStyle w:val="Default"/>
                    <w:rPr>
                      <w:rFonts w:ascii="Times New Roman" w:hAnsi="Times New Roman" w:cs="Times New Roman"/>
                      <w:sz w:val="18"/>
                      <w:szCs w:val="18"/>
                    </w:rPr>
                  </w:pPr>
                </w:p>
              </w:tc>
              <w:tc>
                <w:tcPr>
                  <w:tcW w:w="425" w:type="dxa"/>
                  <w:vMerge/>
                </w:tcPr>
                <w:p w14:paraId="0A421E6D" w14:textId="77777777" w:rsidR="00463AF3" w:rsidRPr="003B14E9" w:rsidRDefault="00463AF3" w:rsidP="00463AF3">
                  <w:pPr>
                    <w:pStyle w:val="Default"/>
                    <w:rPr>
                      <w:rFonts w:ascii="Times New Roman" w:hAnsi="Times New Roman" w:cs="Times New Roman"/>
                      <w:sz w:val="18"/>
                      <w:szCs w:val="18"/>
                    </w:rPr>
                  </w:pPr>
                </w:p>
              </w:tc>
              <w:tc>
                <w:tcPr>
                  <w:tcW w:w="2028" w:type="dxa"/>
                </w:tcPr>
                <w:p w14:paraId="2595F67E"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5A04D30" wp14:editId="01BE16DD">
                        <wp:extent cx="1346279" cy="276045"/>
                        <wp:effectExtent l="0" t="0" r="6350" b="0"/>
                        <wp:docPr id="597384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1487853" cy="305074"/>
                                </a:xfrm>
                                <a:prstGeom prst="rect">
                                  <a:avLst/>
                                </a:prstGeom>
                                <a:noFill/>
                              </pic:spPr>
                            </pic:pic>
                          </a:graphicData>
                        </a:graphic>
                      </wp:inline>
                    </w:drawing>
                  </w:r>
                </w:p>
              </w:tc>
              <w:tc>
                <w:tcPr>
                  <w:tcW w:w="1091" w:type="dxa"/>
                </w:tcPr>
                <w:p w14:paraId="051E10C6" w14:textId="77777777" w:rsidR="00463AF3" w:rsidRPr="003B14E9" w:rsidRDefault="00463AF3" w:rsidP="00463AF3">
                  <w:pPr>
                    <w:pStyle w:val="Default"/>
                    <w:rPr>
                      <w:rFonts w:ascii="Times New Roman" w:hAnsi="Times New Roman" w:cs="Times New Roman"/>
                      <w:sz w:val="18"/>
                      <w:szCs w:val="18"/>
                    </w:rPr>
                  </w:pPr>
                </w:p>
                <w:p w14:paraId="6D763CF7"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dacă z&lt; 0</w:t>
                  </w:r>
                </w:p>
              </w:tc>
            </w:tr>
          </w:tbl>
          <w:p w14:paraId="67006BD0"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p>
          <w:p w14:paraId="1634FD48"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unde: </w:t>
            </w:r>
          </w:p>
          <w:p w14:paraId="09E56A28"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Prag (floor) m = 5 %; </w:t>
            </w:r>
          </w:p>
          <w:p w14:paraId="41264072"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r w:rsidRPr="003B14E9">
              <w:rPr>
                <w:rFonts w:eastAsiaTheme="minorHAnsi"/>
                <w:color w:val="000000"/>
                <w:sz w:val="18"/>
                <w:szCs w:val="18"/>
                <w:lang w:val="ro-MD" w:eastAsia="en-US"/>
              </w:rPr>
              <w:t xml:space="preserve">y = 2 · (1 – Prag m ) · Σ a AddOn (a) </w:t>
            </w:r>
          </w:p>
          <w:tbl>
            <w:tblPr>
              <w:tblStyle w:val="TableGrid"/>
              <w:tblW w:w="4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
              <w:gridCol w:w="567"/>
              <w:gridCol w:w="3415"/>
            </w:tblGrid>
            <w:tr w:rsidR="00463AF3" w:rsidRPr="003B14E9" w14:paraId="01EA082E" w14:textId="77777777" w:rsidTr="00B11411">
              <w:trPr>
                <w:trHeight w:val="401"/>
              </w:trPr>
              <w:tc>
                <w:tcPr>
                  <w:tcW w:w="481" w:type="dxa"/>
                  <w:vMerge w:val="restart"/>
                </w:tcPr>
                <w:p w14:paraId="73832CED" w14:textId="77777777" w:rsidR="00463AF3" w:rsidRPr="003B14E9" w:rsidRDefault="00463AF3" w:rsidP="00463AF3">
                  <w:pPr>
                    <w:pStyle w:val="Default"/>
                    <w:rPr>
                      <w:rFonts w:ascii="Times New Roman" w:hAnsi="Times New Roman" w:cs="Times New Roman"/>
                      <w:sz w:val="18"/>
                      <w:szCs w:val="18"/>
                    </w:rPr>
                  </w:pPr>
                </w:p>
                <w:p w14:paraId="0A5F864C" w14:textId="77777777" w:rsidR="00463AF3" w:rsidRPr="003B14E9" w:rsidRDefault="00463AF3" w:rsidP="00463AF3">
                  <w:pPr>
                    <w:pStyle w:val="Default"/>
                    <w:rPr>
                      <w:rFonts w:ascii="Times New Roman" w:hAnsi="Times New Roman" w:cs="Times New Roman"/>
                      <w:sz w:val="18"/>
                      <w:szCs w:val="18"/>
                    </w:rPr>
                  </w:pPr>
                </w:p>
                <w:p w14:paraId="0DAFD160" w14:textId="77777777" w:rsidR="00463AF3" w:rsidRPr="003B14E9" w:rsidRDefault="00463AF3" w:rsidP="00463AF3">
                  <w:pPr>
                    <w:pStyle w:val="Default"/>
                    <w:rPr>
                      <w:rFonts w:ascii="Times New Roman" w:hAnsi="Times New Roman" w:cs="Times New Roman"/>
                      <w:sz w:val="18"/>
                      <w:szCs w:val="18"/>
                    </w:rPr>
                  </w:pPr>
                </w:p>
                <w:p w14:paraId="2D001975"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z =</w:t>
                  </w:r>
                </w:p>
              </w:tc>
              <w:tc>
                <w:tcPr>
                  <w:tcW w:w="567" w:type="dxa"/>
                  <w:vMerge w:val="restart"/>
                </w:tcPr>
                <w:p w14:paraId="77DD5F37"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w:t>
                  </w:r>
                </w:p>
              </w:tc>
              <w:tc>
                <w:tcPr>
                  <w:tcW w:w="3415" w:type="dxa"/>
                </w:tcPr>
                <w:p w14:paraId="029AA64A" w14:textId="77777777" w:rsidR="00463AF3" w:rsidRPr="003B14E9" w:rsidRDefault="00463AF3" w:rsidP="00463AF3">
                  <w:pPr>
                    <w:pStyle w:val="Default"/>
                    <w:rPr>
                      <w:rFonts w:ascii="Times New Roman" w:hAnsi="Times New Roman" w:cs="Times New Roman"/>
                      <w:sz w:val="18"/>
                      <w:szCs w:val="18"/>
                      <w:lang w:val="en-US"/>
                    </w:rPr>
                  </w:pPr>
                  <w:r w:rsidRPr="003B14E9">
                    <w:rPr>
                      <w:rFonts w:ascii="Times New Roman" w:hAnsi="Times New Roman" w:cs="Times New Roman"/>
                      <w:sz w:val="18"/>
                      <w:szCs w:val="18"/>
                    </w:rPr>
                    <w:t>CMV – NICA pentru seturile de compensare menţionate la articolul 275 alin.(1)</w:t>
                  </w:r>
                </w:p>
              </w:tc>
            </w:tr>
            <w:tr w:rsidR="00463AF3" w:rsidRPr="003B14E9" w14:paraId="599641E9" w14:textId="77777777" w:rsidTr="00B11411">
              <w:trPr>
                <w:trHeight w:val="106"/>
              </w:trPr>
              <w:tc>
                <w:tcPr>
                  <w:tcW w:w="481" w:type="dxa"/>
                  <w:vMerge/>
                </w:tcPr>
                <w:p w14:paraId="0A486F09" w14:textId="77777777" w:rsidR="00463AF3" w:rsidRPr="003B14E9" w:rsidRDefault="00463AF3" w:rsidP="00463AF3">
                  <w:pPr>
                    <w:pStyle w:val="Default"/>
                    <w:rPr>
                      <w:rFonts w:ascii="Times New Roman" w:hAnsi="Times New Roman" w:cs="Times New Roman"/>
                      <w:sz w:val="18"/>
                      <w:szCs w:val="18"/>
                      <w:lang w:val="en-US"/>
                    </w:rPr>
                  </w:pPr>
                </w:p>
              </w:tc>
              <w:tc>
                <w:tcPr>
                  <w:tcW w:w="567" w:type="dxa"/>
                  <w:vMerge/>
                </w:tcPr>
                <w:p w14:paraId="17D857BA" w14:textId="77777777" w:rsidR="00463AF3" w:rsidRPr="003B14E9" w:rsidRDefault="00463AF3" w:rsidP="00463AF3">
                  <w:pPr>
                    <w:pStyle w:val="Default"/>
                    <w:rPr>
                      <w:rFonts w:ascii="Times New Roman" w:hAnsi="Times New Roman" w:cs="Times New Roman"/>
                      <w:sz w:val="18"/>
                      <w:szCs w:val="18"/>
                      <w:lang w:val="en-US"/>
                    </w:rPr>
                  </w:pPr>
                </w:p>
              </w:tc>
              <w:tc>
                <w:tcPr>
                  <w:tcW w:w="3415" w:type="dxa"/>
                </w:tcPr>
                <w:p w14:paraId="61AA33E8" w14:textId="77777777" w:rsidR="00463AF3" w:rsidRPr="003B14E9" w:rsidRDefault="00463AF3" w:rsidP="00463AF3">
                  <w:pPr>
                    <w:pStyle w:val="Default"/>
                    <w:rPr>
                      <w:rFonts w:ascii="Times New Roman" w:hAnsi="Times New Roman" w:cs="Times New Roman"/>
                      <w:sz w:val="18"/>
                      <w:szCs w:val="18"/>
                      <w:lang w:val="en-US"/>
                    </w:rPr>
                  </w:pPr>
                  <w:r w:rsidRPr="003B14E9">
                    <w:rPr>
                      <w:rFonts w:ascii="Times New Roman" w:hAnsi="Times New Roman" w:cs="Times New Roman"/>
                      <w:sz w:val="18"/>
                      <w:szCs w:val="18"/>
                    </w:rPr>
                    <w:t>CMV – VM – NICA pentru seturile de compensare menţionate la articolul 275 alin.(2)</w:t>
                  </w:r>
                </w:p>
              </w:tc>
            </w:tr>
            <w:tr w:rsidR="00463AF3" w:rsidRPr="003B14E9" w14:paraId="5A50457E" w14:textId="77777777" w:rsidTr="00B11411">
              <w:trPr>
                <w:trHeight w:val="106"/>
              </w:trPr>
              <w:tc>
                <w:tcPr>
                  <w:tcW w:w="481" w:type="dxa"/>
                  <w:vMerge/>
                </w:tcPr>
                <w:p w14:paraId="746B6E38" w14:textId="77777777" w:rsidR="00463AF3" w:rsidRPr="003B14E9" w:rsidRDefault="00463AF3" w:rsidP="00463AF3">
                  <w:pPr>
                    <w:pStyle w:val="Default"/>
                    <w:rPr>
                      <w:rFonts w:ascii="Times New Roman" w:hAnsi="Times New Roman" w:cs="Times New Roman"/>
                      <w:sz w:val="18"/>
                      <w:szCs w:val="18"/>
                      <w:lang w:val="en-US"/>
                    </w:rPr>
                  </w:pPr>
                </w:p>
              </w:tc>
              <w:tc>
                <w:tcPr>
                  <w:tcW w:w="567" w:type="dxa"/>
                  <w:vMerge/>
                </w:tcPr>
                <w:p w14:paraId="58704DBB" w14:textId="77777777" w:rsidR="00463AF3" w:rsidRPr="003B14E9" w:rsidRDefault="00463AF3" w:rsidP="00463AF3">
                  <w:pPr>
                    <w:pStyle w:val="Default"/>
                    <w:rPr>
                      <w:rFonts w:ascii="Times New Roman" w:hAnsi="Times New Roman" w:cs="Times New Roman"/>
                      <w:sz w:val="18"/>
                      <w:szCs w:val="18"/>
                      <w:lang w:val="en-US"/>
                    </w:rPr>
                  </w:pPr>
                </w:p>
              </w:tc>
              <w:tc>
                <w:tcPr>
                  <w:tcW w:w="3415" w:type="dxa"/>
                </w:tcPr>
                <w:p w14:paraId="6762F4A5" w14:textId="77777777" w:rsidR="00463AF3" w:rsidRPr="003B14E9" w:rsidRDefault="00463AF3" w:rsidP="00463AF3">
                  <w:pPr>
                    <w:pStyle w:val="Default"/>
                    <w:rPr>
                      <w:rFonts w:ascii="Times New Roman" w:hAnsi="Times New Roman" w:cs="Times New Roman"/>
                      <w:sz w:val="18"/>
                      <w:szCs w:val="18"/>
                      <w:lang w:val="en-US"/>
                    </w:rPr>
                  </w:pPr>
                  <w:r w:rsidRPr="003B14E9">
                    <w:rPr>
                      <w:rFonts w:ascii="Times New Roman" w:hAnsi="Times New Roman" w:cs="Times New Roman"/>
                      <w:sz w:val="18"/>
                      <w:szCs w:val="18"/>
                    </w:rPr>
                    <w:t>CMV i – NICA i pentru seturile de compensare menţionate la articolul 275 alin.(3)</w:t>
                  </w:r>
                </w:p>
              </w:tc>
            </w:tr>
          </w:tbl>
          <w:p w14:paraId="5486CDA9" w14:textId="77777777" w:rsidR="00463AF3" w:rsidRPr="003B14E9" w:rsidRDefault="00463AF3" w:rsidP="00463AF3">
            <w:pPr>
              <w:autoSpaceDE w:val="0"/>
              <w:autoSpaceDN w:val="0"/>
              <w:adjustRightInd w:val="0"/>
              <w:spacing w:before="60" w:after="60"/>
              <w:rPr>
                <w:rFonts w:eastAsiaTheme="minorHAnsi"/>
                <w:color w:val="000000"/>
                <w:sz w:val="18"/>
                <w:szCs w:val="18"/>
                <w:lang w:val="ro-MD" w:eastAsia="en-US"/>
              </w:rPr>
            </w:pPr>
          </w:p>
          <w:p w14:paraId="5B601767" w14:textId="528CB2E5" w:rsidR="00463AF3" w:rsidRPr="003B14E9" w:rsidRDefault="00463AF3" w:rsidP="00463AF3">
            <w:pPr>
              <w:pStyle w:val="title-article-norm"/>
              <w:jc w:val="both"/>
              <w:rPr>
                <w:i w:val="0"/>
                <w:sz w:val="18"/>
                <w:szCs w:val="18"/>
                <w:lang w:val="ro-MD"/>
              </w:rPr>
            </w:pPr>
            <w:r w:rsidRPr="003B14E9">
              <w:rPr>
                <w:rFonts w:eastAsiaTheme="minorHAnsi"/>
                <w:i w:val="0"/>
                <w:iCs w:val="0"/>
                <w:color w:val="000000"/>
                <w:sz w:val="18"/>
                <w:szCs w:val="18"/>
                <w:lang w:val="ro-MD"/>
              </w:rPr>
              <w:lastRenderedPageBreak/>
              <w:t>NICAi= suma independentă netă a garanţiilor reale calculată numai pentru tranzacţiile incluse în setul de compensare i. NICA i se calculează la nivel de tranzacţie sau la nivel de set de compensare, în funcţie de contractul în marjă.</w:t>
            </w:r>
          </w:p>
        </w:tc>
        <w:tc>
          <w:tcPr>
            <w:tcW w:w="4425" w:type="dxa"/>
            <w:shd w:val="clear" w:color="auto" w:fill="auto"/>
          </w:tcPr>
          <w:p w14:paraId="747FC964" w14:textId="77777777" w:rsidR="00463AF3" w:rsidRPr="003B14E9" w:rsidRDefault="00463AF3" w:rsidP="00463AF3">
            <w:pPr>
              <w:pStyle w:val="CM4"/>
              <w:spacing w:before="60" w:after="60"/>
              <w:ind w:firstLine="567"/>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 xml:space="preserve">Secțiunea a 6-a </w:t>
            </w:r>
          </w:p>
          <w:p w14:paraId="655DE881" w14:textId="77777777" w:rsidR="00463AF3" w:rsidRPr="003B14E9" w:rsidRDefault="00463AF3" w:rsidP="00463AF3">
            <w:pPr>
              <w:pStyle w:val="Default"/>
              <w:ind w:firstLine="567"/>
              <w:jc w:val="center"/>
              <w:rPr>
                <w:rFonts w:ascii="Times New Roman" w:hAnsi="Times New Roman" w:cs="Times New Roman"/>
                <w:b/>
                <w:bCs/>
                <w:sz w:val="18"/>
                <w:szCs w:val="18"/>
              </w:rPr>
            </w:pPr>
            <w:r w:rsidRPr="003B14E9">
              <w:rPr>
                <w:rFonts w:ascii="Times New Roman" w:hAnsi="Times New Roman" w:cs="Times New Roman"/>
                <w:b/>
                <w:bCs/>
                <w:sz w:val="18"/>
                <w:szCs w:val="18"/>
              </w:rPr>
              <w:t>Expunerea viitoare potenţială</w:t>
            </w:r>
          </w:p>
          <w:p w14:paraId="5EAD9246"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b/>
                <w:bCs/>
                <w:sz w:val="18"/>
                <w:szCs w:val="18"/>
              </w:rPr>
              <w:t>51.</w:t>
            </w:r>
            <w:r w:rsidRPr="003B14E9">
              <w:rPr>
                <w:rFonts w:ascii="Times New Roman" w:hAnsi="Times New Roman" w:cs="Times New Roman"/>
                <w:sz w:val="18"/>
                <w:szCs w:val="18"/>
              </w:rPr>
              <w:t xml:space="preserve"> Băncile calculează expunerea viitoare potenţială a unui set de compensare după cum urmează: </w:t>
            </w:r>
          </w:p>
          <w:p w14:paraId="43D17978" w14:textId="77777777" w:rsidR="00463AF3" w:rsidRPr="003B14E9" w:rsidRDefault="00463AF3" w:rsidP="00463AF3">
            <w:pPr>
              <w:pStyle w:val="Default"/>
              <w:ind w:firstLine="567"/>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9813FAD" wp14:editId="0E74978F">
                  <wp:extent cx="2070340" cy="353060"/>
                  <wp:effectExtent l="0" t="0" r="6350" b="8890"/>
                  <wp:docPr id="222325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8980" cy="357944"/>
                          </a:xfrm>
                          <a:prstGeom prst="rect">
                            <a:avLst/>
                          </a:prstGeom>
                          <a:noFill/>
                        </pic:spPr>
                      </pic:pic>
                    </a:graphicData>
                  </a:graphic>
                </wp:inline>
              </w:drawing>
            </w:r>
          </w:p>
          <w:p w14:paraId="562DDBF7" w14:textId="77777777" w:rsidR="00463AF3" w:rsidRPr="003B14E9" w:rsidRDefault="00463AF3" w:rsidP="00463AF3">
            <w:pPr>
              <w:pStyle w:val="Default"/>
              <w:ind w:firstLine="567"/>
              <w:rPr>
                <w:rFonts w:ascii="Times New Roman" w:hAnsi="Times New Roman" w:cs="Times New Roman"/>
                <w:sz w:val="18"/>
                <w:szCs w:val="18"/>
              </w:rPr>
            </w:pPr>
            <w:r w:rsidRPr="003B14E9">
              <w:rPr>
                <w:rFonts w:ascii="Times New Roman" w:hAnsi="Times New Roman" w:cs="Times New Roman"/>
                <w:sz w:val="18"/>
                <w:szCs w:val="18"/>
              </w:rPr>
              <w:t xml:space="preserve"> </w:t>
            </w:r>
          </w:p>
          <w:p w14:paraId="385C77BC"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4E6A3B71"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PFE = expunerea viitoare potenţială; </w:t>
            </w:r>
          </w:p>
          <w:p w14:paraId="5C773737"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a = indicele care desemnează categoriile de risc incluse în calculul expunerii viitoare potenţiale a setului de compensare; </w:t>
            </w:r>
          </w:p>
          <w:p w14:paraId="648E18A9"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sz w:val="18"/>
                <w:szCs w:val="18"/>
              </w:rPr>
              <w:t>AddOn</w:t>
            </w:r>
            <w:r w:rsidRPr="003B14E9">
              <w:rPr>
                <w:rFonts w:ascii="Times New Roman" w:hAnsi="Times New Roman" w:cs="Times New Roman"/>
                <w:sz w:val="18"/>
                <w:szCs w:val="18"/>
                <w:vertAlign w:val="superscript"/>
              </w:rPr>
              <w:t>(a)</w:t>
            </w:r>
            <w:r w:rsidRPr="003B14E9">
              <w:rPr>
                <w:rFonts w:ascii="Times New Roman" w:hAnsi="Times New Roman" w:cs="Times New Roman"/>
                <w:sz w:val="18"/>
                <w:szCs w:val="18"/>
              </w:rPr>
              <w:t xml:space="preserve"> = majorarea pentru categoria de risc a cal- culată în conformitate cu </w:t>
            </w:r>
            <w:bookmarkStart w:id="3" w:name="_Hlk152968829"/>
            <w:r w:rsidRPr="003B14E9">
              <w:rPr>
                <w:rFonts w:ascii="Times New Roman" w:hAnsi="Times New Roman" w:cs="Times New Roman"/>
                <w:sz w:val="18"/>
                <w:szCs w:val="18"/>
              </w:rPr>
              <w:t>punctele 63-83</w:t>
            </w:r>
            <w:bookmarkEnd w:id="3"/>
            <w:r w:rsidRPr="003B14E9">
              <w:rPr>
                <w:rFonts w:ascii="Times New Roman" w:hAnsi="Times New Roman" w:cs="Times New Roman"/>
                <w:sz w:val="18"/>
                <w:szCs w:val="18"/>
              </w:rPr>
              <w:t xml:space="preserve">, după caz; și </w:t>
            </w:r>
          </w:p>
          <w:p w14:paraId="3A5509E0"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multiplicator (multiplier) = factorul de multiplicare calculat în conformitate cu formula menţionată la punctul 53. </w:t>
            </w:r>
          </w:p>
          <w:p w14:paraId="6B68A13A"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sz w:val="18"/>
                <w:szCs w:val="18"/>
              </w:rPr>
              <w:lastRenderedPageBreak/>
              <w:t xml:space="preserve">În scopul acestui calcul, băncile includ majorarea (add-on) aferentă unei anumite categorii de risc în calculul expunerii viitoare potenţiale a unui set de compensare în cazul în care cel puţin o tranzacţie din setul de compensare a fost încadrată în categoria de risc respectivă. </w:t>
            </w:r>
          </w:p>
          <w:p w14:paraId="27FE1985"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52.</w:t>
            </w:r>
            <w:r w:rsidRPr="003B14E9">
              <w:rPr>
                <w:rFonts w:ascii="Times New Roman" w:hAnsi="Times New Roman" w:cs="Times New Roman"/>
                <w:sz w:val="18"/>
                <w:szCs w:val="18"/>
              </w:rPr>
              <w:t xml:space="preserve"> Expunerea viitoare potenţială a seturilor de compensare multiple care fac obiectul unui singur contract în marjă, astfel cum se menţionează la punctul 46, se calculează ca suma expunerilor viitoare potenţiale a tuturor seturilor de compensare individuale ca și cum nu ar face obiectul niciunei forme de contract în marjă. </w:t>
            </w:r>
          </w:p>
          <w:p w14:paraId="5A25C913"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b/>
                <w:bCs/>
                <w:sz w:val="18"/>
                <w:szCs w:val="18"/>
              </w:rPr>
              <w:t>53.</w:t>
            </w:r>
            <w:r w:rsidRPr="003B14E9">
              <w:rPr>
                <w:rFonts w:ascii="Times New Roman" w:hAnsi="Times New Roman" w:cs="Times New Roman"/>
                <w:sz w:val="18"/>
                <w:szCs w:val="18"/>
              </w:rPr>
              <w:t xml:space="preserve"> În scopul alineatului (1), multiplicatorul se calculează după cum urmează: </w:t>
            </w:r>
          </w:p>
          <w:p w14:paraId="769FBBDC" w14:textId="77777777" w:rsidR="00463AF3" w:rsidRPr="003B14E9" w:rsidRDefault="00463AF3" w:rsidP="00463AF3">
            <w:pPr>
              <w:pStyle w:val="Default"/>
              <w:ind w:firstLine="567"/>
              <w:rPr>
                <w:rFonts w:ascii="Times New Roman" w:hAnsi="Times New Roman" w:cs="Times New Roman"/>
                <w:sz w:val="18"/>
                <w:szCs w:val="18"/>
              </w:rPr>
            </w:pPr>
          </w:p>
          <w:tbl>
            <w:tblPr>
              <w:tblStyle w:val="TableGrid"/>
              <w:tblW w:w="4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4"/>
              <w:gridCol w:w="425"/>
              <w:gridCol w:w="2028"/>
              <w:gridCol w:w="1091"/>
            </w:tblGrid>
            <w:tr w:rsidR="00463AF3" w:rsidRPr="003B14E9" w14:paraId="5C855989" w14:textId="77777777" w:rsidTr="00B11411">
              <w:trPr>
                <w:trHeight w:val="75"/>
              </w:trPr>
              <w:tc>
                <w:tcPr>
                  <w:tcW w:w="764" w:type="dxa"/>
                  <w:vMerge w:val="restart"/>
                </w:tcPr>
                <w:p w14:paraId="68F6DE95" w14:textId="77777777" w:rsidR="00463AF3" w:rsidRPr="003B14E9" w:rsidRDefault="00463AF3" w:rsidP="00463AF3">
                  <w:pPr>
                    <w:pStyle w:val="Default"/>
                    <w:rPr>
                      <w:rFonts w:ascii="Times New Roman" w:hAnsi="Times New Roman" w:cs="Times New Roman"/>
                      <w:sz w:val="18"/>
                      <w:szCs w:val="18"/>
                    </w:rPr>
                  </w:pPr>
                </w:p>
                <w:p w14:paraId="61C5D71D"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multiplicator =</w:t>
                  </w:r>
                </w:p>
                <w:p w14:paraId="7DDA5D55" w14:textId="77777777" w:rsidR="00463AF3" w:rsidRPr="003B14E9" w:rsidRDefault="00463AF3" w:rsidP="00463AF3">
                  <w:pPr>
                    <w:pStyle w:val="Default"/>
                    <w:rPr>
                      <w:rFonts w:ascii="Times New Roman" w:hAnsi="Times New Roman" w:cs="Times New Roman"/>
                      <w:sz w:val="18"/>
                      <w:szCs w:val="18"/>
                    </w:rPr>
                  </w:pPr>
                </w:p>
              </w:tc>
              <w:tc>
                <w:tcPr>
                  <w:tcW w:w="425" w:type="dxa"/>
                  <w:vMerge w:val="restart"/>
                </w:tcPr>
                <w:p w14:paraId="3D3B7200"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w:t>
                  </w:r>
                </w:p>
              </w:tc>
              <w:tc>
                <w:tcPr>
                  <w:tcW w:w="3119" w:type="dxa"/>
                  <w:gridSpan w:val="2"/>
                </w:tcPr>
                <w:p w14:paraId="2C914809"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1 dacă z ≥ 0</w:t>
                  </w:r>
                </w:p>
              </w:tc>
            </w:tr>
            <w:tr w:rsidR="00463AF3" w:rsidRPr="003B14E9" w14:paraId="5A2BC70A" w14:textId="77777777" w:rsidTr="00B11411">
              <w:trPr>
                <w:trHeight w:val="39"/>
              </w:trPr>
              <w:tc>
                <w:tcPr>
                  <w:tcW w:w="764" w:type="dxa"/>
                  <w:vMerge/>
                </w:tcPr>
                <w:p w14:paraId="02C8B590" w14:textId="77777777" w:rsidR="00463AF3" w:rsidRPr="003B14E9" w:rsidRDefault="00463AF3" w:rsidP="00463AF3">
                  <w:pPr>
                    <w:pStyle w:val="Default"/>
                    <w:rPr>
                      <w:rFonts w:ascii="Times New Roman" w:hAnsi="Times New Roman" w:cs="Times New Roman"/>
                      <w:sz w:val="18"/>
                      <w:szCs w:val="18"/>
                    </w:rPr>
                  </w:pPr>
                </w:p>
              </w:tc>
              <w:tc>
                <w:tcPr>
                  <w:tcW w:w="425" w:type="dxa"/>
                  <w:vMerge/>
                </w:tcPr>
                <w:p w14:paraId="68EA1227" w14:textId="77777777" w:rsidR="00463AF3" w:rsidRPr="003B14E9" w:rsidRDefault="00463AF3" w:rsidP="00463AF3">
                  <w:pPr>
                    <w:pStyle w:val="Default"/>
                    <w:rPr>
                      <w:rFonts w:ascii="Times New Roman" w:hAnsi="Times New Roman" w:cs="Times New Roman"/>
                      <w:sz w:val="18"/>
                      <w:szCs w:val="18"/>
                    </w:rPr>
                  </w:pPr>
                </w:p>
              </w:tc>
              <w:tc>
                <w:tcPr>
                  <w:tcW w:w="2028" w:type="dxa"/>
                </w:tcPr>
                <w:p w14:paraId="76C74EE3"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9E6F5E8" wp14:editId="1C749E86">
                        <wp:extent cx="1346279" cy="276045"/>
                        <wp:effectExtent l="0" t="0" r="6350" b="0"/>
                        <wp:docPr id="1051400454" name="Picture 105140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1487853" cy="305074"/>
                                </a:xfrm>
                                <a:prstGeom prst="rect">
                                  <a:avLst/>
                                </a:prstGeom>
                                <a:noFill/>
                              </pic:spPr>
                            </pic:pic>
                          </a:graphicData>
                        </a:graphic>
                      </wp:inline>
                    </w:drawing>
                  </w:r>
                </w:p>
              </w:tc>
              <w:tc>
                <w:tcPr>
                  <w:tcW w:w="1091" w:type="dxa"/>
                </w:tcPr>
                <w:p w14:paraId="572A60CF" w14:textId="77777777" w:rsidR="00463AF3" w:rsidRPr="003B14E9" w:rsidRDefault="00463AF3" w:rsidP="00463AF3">
                  <w:pPr>
                    <w:pStyle w:val="Default"/>
                    <w:rPr>
                      <w:rFonts w:ascii="Times New Roman" w:hAnsi="Times New Roman" w:cs="Times New Roman"/>
                      <w:sz w:val="18"/>
                      <w:szCs w:val="18"/>
                    </w:rPr>
                  </w:pPr>
                </w:p>
                <w:p w14:paraId="0FD0D944"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dacă z&lt; 0</w:t>
                  </w:r>
                </w:p>
              </w:tc>
            </w:tr>
          </w:tbl>
          <w:p w14:paraId="5C7FB375" w14:textId="77777777" w:rsidR="00463AF3" w:rsidRPr="003B14E9" w:rsidRDefault="00463AF3" w:rsidP="00463AF3">
            <w:pPr>
              <w:pStyle w:val="Default"/>
              <w:ind w:firstLine="567"/>
              <w:rPr>
                <w:rFonts w:ascii="Times New Roman" w:hAnsi="Times New Roman" w:cs="Times New Roman"/>
                <w:sz w:val="18"/>
                <w:szCs w:val="18"/>
              </w:rPr>
            </w:pPr>
          </w:p>
          <w:p w14:paraId="2A146DC4"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6CC3BF02"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 xml:space="preserve">Prag (floor) m = 5 %; </w:t>
            </w:r>
          </w:p>
          <w:p w14:paraId="2C83A285" w14:textId="77777777" w:rsidR="00463AF3" w:rsidRPr="003B14E9" w:rsidRDefault="00463AF3" w:rsidP="00463AF3">
            <w:pPr>
              <w:pStyle w:val="CM4"/>
              <w:spacing w:before="60" w:after="60"/>
              <w:ind w:firstLine="567"/>
              <w:rPr>
                <w:rFonts w:ascii="Times New Roman" w:hAnsi="Times New Roman"/>
                <w:color w:val="000000"/>
                <w:sz w:val="18"/>
                <w:szCs w:val="18"/>
                <w:vertAlign w:val="superscript"/>
              </w:rPr>
            </w:pPr>
            <w:r w:rsidRPr="003B14E9">
              <w:rPr>
                <w:rFonts w:ascii="Times New Roman" w:hAnsi="Times New Roman"/>
                <w:color w:val="000000"/>
                <w:sz w:val="18"/>
                <w:szCs w:val="18"/>
              </w:rPr>
              <w:t>y = 2 · (1 – Prag</w:t>
            </w:r>
            <w:r w:rsidRPr="003B14E9">
              <w:rPr>
                <w:rFonts w:ascii="Times New Roman" w:hAnsi="Times New Roman"/>
                <w:color w:val="000000"/>
                <w:sz w:val="18"/>
                <w:szCs w:val="18"/>
                <w:vertAlign w:val="subscript"/>
              </w:rPr>
              <w:t>m</w:t>
            </w:r>
            <w:r w:rsidRPr="003B14E9">
              <w:rPr>
                <w:rFonts w:ascii="Times New Roman" w:hAnsi="Times New Roman"/>
                <w:color w:val="000000"/>
                <w:sz w:val="18"/>
                <w:szCs w:val="18"/>
              </w:rPr>
              <w:t>) · Σ a AddOn</w:t>
            </w:r>
            <w:r w:rsidRPr="003B14E9">
              <w:rPr>
                <w:rFonts w:ascii="Times New Roman" w:hAnsi="Times New Roman"/>
                <w:color w:val="000000"/>
                <w:sz w:val="18"/>
                <w:szCs w:val="18"/>
                <w:vertAlign w:val="superscript"/>
              </w:rPr>
              <w:t xml:space="preserve">(a) </w:t>
            </w:r>
          </w:p>
          <w:tbl>
            <w:tblPr>
              <w:tblStyle w:val="TableGrid"/>
              <w:tblW w:w="4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
              <w:gridCol w:w="567"/>
              <w:gridCol w:w="3415"/>
            </w:tblGrid>
            <w:tr w:rsidR="00463AF3" w:rsidRPr="003B14E9" w14:paraId="3D1224B2" w14:textId="77777777" w:rsidTr="00B11411">
              <w:trPr>
                <w:trHeight w:val="401"/>
              </w:trPr>
              <w:tc>
                <w:tcPr>
                  <w:tcW w:w="481" w:type="dxa"/>
                  <w:vMerge w:val="restart"/>
                </w:tcPr>
                <w:p w14:paraId="50FE8648" w14:textId="77777777" w:rsidR="00463AF3" w:rsidRPr="003B14E9" w:rsidRDefault="00463AF3" w:rsidP="00463AF3">
                  <w:pPr>
                    <w:pStyle w:val="Default"/>
                    <w:rPr>
                      <w:rFonts w:ascii="Times New Roman" w:hAnsi="Times New Roman" w:cs="Times New Roman"/>
                      <w:sz w:val="18"/>
                      <w:szCs w:val="18"/>
                    </w:rPr>
                  </w:pPr>
                </w:p>
                <w:p w14:paraId="4F725A50" w14:textId="77777777" w:rsidR="00463AF3" w:rsidRPr="003B14E9" w:rsidRDefault="00463AF3" w:rsidP="00463AF3">
                  <w:pPr>
                    <w:pStyle w:val="Default"/>
                    <w:rPr>
                      <w:rFonts w:ascii="Times New Roman" w:hAnsi="Times New Roman" w:cs="Times New Roman"/>
                      <w:sz w:val="18"/>
                      <w:szCs w:val="18"/>
                    </w:rPr>
                  </w:pPr>
                </w:p>
                <w:p w14:paraId="70FF86F3" w14:textId="77777777" w:rsidR="00463AF3" w:rsidRPr="003B14E9" w:rsidRDefault="00463AF3" w:rsidP="00463AF3">
                  <w:pPr>
                    <w:pStyle w:val="Default"/>
                    <w:rPr>
                      <w:rFonts w:ascii="Times New Roman" w:hAnsi="Times New Roman" w:cs="Times New Roman"/>
                      <w:sz w:val="18"/>
                      <w:szCs w:val="18"/>
                    </w:rPr>
                  </w:pPr>
                </w:p>
                <w:p w14:paraId="15E91AF5"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z =</w:t>
                  </w:r>
                </w:p>
              </w:tc>
              <w:tc>
                <w:tcPr>
                  <w:tcW w:w="567" w:type="dxa"/>
                  <w:vMerge w:val="restart"/>
                </w:tcPr>
                <w:p w14:paraId="2ABBD417" w14:textId="77777777" w:rsidR="00463AF3" w:rsidRPr="003B14E9" w:rsidRDefault="00463AF3" w:rsidP="00463AF3">
                  <w:pPr>
                    <w:pStyle w:val="Default"/>
                    <w:rPr>
                      <w:rFonts w:ascii="Times New Roman" w:hAnsi="Times New Roman" w:cs="Times New Roman"/>
                      <w:sz w:val="18"/>
                      <w:szCs w:val="18"/>
                    </w:rPr>
                  </w:pPr>
                  <w:r w:rsidRPr="003B14E9">
                    <w:rPr>
                      <w:rFonts w:ascii="Times New Roman" w:hAnsi="Times New Roman" w:cs="Times New Roman"/>
                      <w:sz w:val="18"/>
                      <w:szCs w:val="18"/>
                    </w:rPr>
                    <w:t>{</w:t>
                  </w:r>
                </w:p>
              </w:tc>
              <w:tc>
                <w:tcPr>
                  <w:tcW w:w="3415" w:type="dxa"/>
                </w:tcPr>
                <w:p w14:paraId="02C43AD8" w14:textId="77777777" w:rsidR="00463AF3" w:rsidRPr="003B14E9" w:rsidRDefault="00463AF3" w:rsidP="00463AF3">
                  <w:pPr>
                    <w:pStyle w:val="Default"/>
                    <w:rPr>
                      <w:rFonts w:ascii="Times New Roman" w:hAnsi="Times New Roman" w:cs="Times New Roman"/>
                      <w:sz w:val="18"/>
                      <w:szCs w:val="18"/>
                      <w:lang w:val="en-US"/>
                    </w:rPr>
                  </w:pPr>
                  <w:r w:rsidRPr="003B14E9">
                    <w:rPr>
                      <w:rFonts w:ascii="Times New Roman" w:hAnsi="Times New Roman" w:cs="Times New Roman"/>
                      <w:sz w:val="18"/>
                      <w:szCs w:val="18"/>
                    </w:rPr>
                    <w:t>CMV – NICA pentru seturile de compensare menţionate la punctul 38</w:t>
                  </w:r>
                </w:p>
              </w:tc>
            </w:tr>
            <w:tr w:rsidR="00463AF3" w:rsidRPr="003B14E9" w14:paraId="70992B21" w14:textId="77777777" w:rsidTr="00B11411">
              <w:trPr>
                <w:trHeight w:val="106"/>
              </w:trPr>
              <w:tc>
                <w:tcPr>
                  <w:tcW w:w="481" w:type="dxa"/>
                  <w:vMerge/>
                </w:tcPr>
                <w:p w14:paraId="7C168B4B" w14:textId="77777777" w:rsidR="00463AF3" w:rsidRPr="003B14E9" w:rsidRDefault="00463AF3" w:rsidP="00463AF3">
                  <w:pPr>
                    <w:pStyle w:val="Default"/>
                    <w:rPr>
                      <w:rFonts w:ascii="Times New Roman" w:hAnsi="Times New Roman" w:cs="Times New Roman"/>
                      <w:sz w:val="18"/>
                      <w:szCs w:val="18"/>
                      <w:lang w:val="en-US"/>
                    </w:rPr>
                  </w:pPr>
                </w:p>
              </w:tc>
              <w:tc>
                <w:tcPr>
                  <w:tcW w:w="567" w:type="dxa"/>
                  <w:vMerge/>
                </w:tcPr>
                <w:p w14:paraId="07EAA9CC" w14:textId="77777777" w:rsidR="00463AF3" w:rsidRPr="003B14E9" w:rsidRDefault="00463AF3" w:rsidP="00463AF3">
                  <w:pPr>
                    <w:pStyle w:val="Default"/>
                    <w:rPr>
                      <w:rFonts w:ascii="Times New Roman" w:hAnsi="Times New Roman" w:cs="Times New Roman"/>
                      <w:sz w:val="18"/>
                      <w:szCs w:val="18"/>
                      <w:lang w:val="en-US"/>
                    </w:rPr>
                  </w:pPr>
                </w:p>
              </w:tc>
              <w:tc>
                <w:tcPr>
                  <w:tcW w:w="3415" w:type="dxa"/>
                </w:tcPr>
                <w:p w14:paraId="508099CD" w14:textId="77777777" w:rsidR="00463AF3" w:rsidRPr="003B14E9" w:rsidRDefault="00463AF3" w:rsidP="00463AF3">
                  <w:pPr>
                    <w:pStyle w:val="Default"/>
                    <w:rPr>
                      <w:rFonts w:ascii="Times New Roman" w:hAnsi="Times New Roman" w:cs="Times New Roman"/>
                      <w:sz w:val="18"/>
                      <w:szCs w:val="18"/>
                      <w:lang w:val="en-US"/>
                    </w:rPr>
                  </w:pPr>
                  <w:r w:rsidRPr="003B14E9">
                    <w:rPr>
                      <w:rFonts w:ascii="Times New Roman" w:hAnsi="Times New Roman" w:cs="Times New Roman"/>
                      <w:sz w:val="18"/>
                      <w:szCs w:val="18"/>
                    </w:rPr>
                    <w:t>CMV – VM – NICA pentru seturile de compensare menţionate la punctul 39</w:t>
                  </w:r>
                </w:p>
              </w:tc>
            </w:tr>
            <w:tr w:rsidR="00463AF3" w:rsidRPr="003B14E9" w14:paraId="7E7FE8B7" w14:textId="77777777" w:rsidTr="00B11411">
              <w:trPr>
                <w:trHeight w:val="106"/>
              </w:trPr>
              <w:tc>
                <w:tcPr>
                  <w:tcW w:w="481" w:type="dxa"/>
                  <w:vMerge/>
                </w:tcPr>
                <w:p w14:paraId="3F189324" w14:textId="77777777" w:rsidR="00463AF3" w:rsidRPr="003B14E9" w:rsidRDefault="00463AF3" w:rsidP="00463AF3">
                  <w:pPr>
                    <w:pStyle w:val="Default"/>
                    <w:rPr>
                      <w:rFonts w:ascii="Times New Roman" w:hAnsi="Times New Roman" w:cs="Times New Roman"/>
                      <w:sz w:val="18"/>
                      <w:szCs w:val="18"/>
                      <w:lang w:val="en-US"/>
                    </w:rPr>
                  </w:pPr>
                </w:p>
              </w:tc>
              <w:tc>
                <w:tcPr>
                  <w:tcW w:w="567" w:type="dxa"/>
                  <w:vMerge/>
                </w:tcPr>
                <w:p w14:paraId="2CD19330" w14:textId="77777777" w:rsidR="00463AF3" w:rsidRPr="003B14E9" w:rsidRDefault="00463AF3" w:rsidP="00463AF3">
                  <w:pPr>
                    <w:pStyle w:val="Default"/>
                    <w:rPr>
                      <w:rFonts w:ascii="Times New Roman" w:hAnsi="Times New Roman" w:cs="Times New Roman"/>
                      <w:sz w:val="18"/>
                      <w:szCs w:val="18"/>
                      <w:lang w:val="en-US"/>
                    </w:rPr>
                  </w:pPr>
                </w:p>
              </w:tc>
              <w:tc>
                <w:tcPr>
                  <w:tcW w:w="3415" w:type="dxa"/>
                </w:tcPr>
                <w:p w14:paraId="7F085A5F" w14:textId="77777777" w:rsidR="00463AF3" w:rsidRPr="003B14E9" w:rsidRDefault="00463AF3" w:rsidP="00463AF3">
                  <w:pPr>
                    <w:pStyle w:val="Default"/>
                    <w:rPr>
                      <w:rFonts w:ascii="Times New Roman" w:hAnsi="Times New Roman" w:cs="Times New Roman"/>
                      <w:sz w:val="18"/>
                      <w:szCs w:val="18"/>
                      <w:lang w:val="en-US"/>
                    </w:rPr>
                  </w:pPr>
                  <w:r w:rsidRPr="003B14E9">
                    <w:rPr>
                      <w:rFonts w:ascii="Times New Roman" w:hAnsi="Times New Roman" w:cs="Times New Roman"/>
                      <w:sz w:val="18"/>
                      <w:szCs w:val="18"/>
                    </w:rPr>
                    <w:t>CMV i – NICA i pentru seturile de compensare menţionate la punctul 40</w:t>
                  </w:r>
                </w:p>
              </w:tc>
            </w:tr>
          </w:tbl>
          <w:p w14:paraId="0C0FBE94" w14:textId="77777777" w:rsidR="00463AF3" w:rsidRPr="003B14E9" w:rsidRDefault="00463AF3" w:rsidP="00463AF3">
            <w:pPr>
              <w:rPr>
                <w:sz w:val="18"/>
                <w:szCs w:val="18"/>
                <w:lang w:val="en-US" w:eastAsia="en-US"/>
              </w:rPr>
            </w:pPr>
          </w:p>
          <w:p w14:paraId="530EDE40" w14:textId="77777777" w:rsidR="00463AF3" w:rsidRPr="003B14E9" w:rsidRDefault="00463AF3" w:rsidP="00463AF3">
            <w:pPr>
              <w:pStyle w:val="Default"/>
              <w:ind w:firstLine="567"/>
              <w:rPr>
                <w:rFonts w:ascii="Times New Roman" w:hAnsi="Times New Roman" w:cs="Times New Roman"/>
                <w:sz w:val="18"/>
                <w:szCs w:val="18"/>
              </w:rPr>
            </w:pPr>
          </w:p>
          <w:p w14:paraId="7C7116B6" w14:textId="77777777" w:rsidR="00463AF3" w:rsidRPr="003B14E9" w:rsidRDefault="00463AF3" w:rsidP="00463AF3">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NICAi = suma independentă netă a garanţiilor reale calculată numai pentru tranzacţiile incluse în setul de compensare i. NICAi se calculează la nivel de tranzacţie sau la nivel de set de compensare, în funcţie de contractul în marjă. </w:t>
            </w:r>
          </w:p>
          <w:p w14:paraId="106EBD49" w14:textId="77777777" w:rsidR="00463AF3" w:rsidRPr="003B14E9" w:rsidRDefault="00463AF3" w:rsidP="00463AF3">
            <w:pPr>
              <w:pStyle w:val="NoSpacing"/>
              <w:tabs>
                <w:tab w:val="left" w:pos="328"/>
              </w:tabs>
              <w:jc w:val="both"/>
              <w:rPr>
                <w:rFonts w:ascii="Times New Roman" w:hAnsi="Times New Roman" w:cs="Times New Roman"/>
                <w:b/>
                <w:bCs/>
                <w:sz w:val="18"/>
                <w:szCs w:val="18"/>
                <w:lang w:val="ro-MD"/>
              </w:rPr>
            </w:pPr>
          </w:p>
        </w:tc>
        <w:tc>
          <w:tcPr>
            <w:tcW w:w="1160" w:type="dxa"/>
          </w:tcPr>
          <w:p w14:paraId="03605E75" w14:textId="40F23AF8" w:rsidR="00463AF3" w:rsidRPr="003B14E9" w:rsidRDefault="00463AF3" w:rsidP="00463AF3">
            <w:pPr>
              <w:jc w:val="both"/>
              <w:rPr>
                <w:sz w:val="18"/>
                <w:szCs w:val="18"/>
                <w:lang w:val="ro-MD"/>
              </w:rPr>
            </w:pPr>
            <w:r w:rsidRPr="003B14E9">
              <w:rPr>
                <w:sz w:val="18"/>
                <w:szCs w:val="18"/>
                <w:lang w:val="ro-MD"/>
              </w:rPr>
              <w:lastRenderedPageBreak/>
              <w:t>Compatibil</w:t>
            </w:r>
          </w:p>
        </w:tc>
        <w:tc>
          <w:tcPr>
            <w:tcW w:w="3041" w:type="dxa"/>
          </w:tcPr>
          <w:p w14:paraId="2314662D" w14:textId="77777777" w:rsidR="00463AF3" w:rsidRPr="003B14E9" w:rsidRDefault="00463AF3" w:rsidP="00463AF3">
            <w:pPr>
              <w:rPr>
                <w:sz w:val="18"/>
                <w:szCs w:val="18"/>
                <w:highlight w:val="red"/>
                <w:lang w:val="ro-MD"/>
              </w:rPr>
            </w:pPr>
          </w:p>
        </w:tc>
        <w:tc>
          <w:tcPr>
            <w:tcW w:w="1055" w:type="dxa"/>
            <w:tcBorders>
              <w:top w:val="single" w:sz="4" w:space="0" w:color="auto"/>
              <w:bottom w:val="single" w:sz="4" w:space="0" w:color="auto"/>
            </w:tcBorders>
          </w:tcPr>
          <w:p w14:paraId="60A0A49D" w14:textId="77777777" w:rsidR="00463AF3" w:rsidRPr="003B14E9" w:rsidRDefault="00463AF3" w:rsidP="00463AF3">
            <w:pPr>
              <w:jc w:val="both"/>
              <w:rPr>
                <w:sz w:val="18"/>
                <w:szCs w:val="18"/>
                <w:lang w:val="ro-MD"/>
              </w:rPr>
            </w:pPr>
          </w:p>
        </w:tc>
        <w:tc>
          <w:tcPr>
            <w:tcW w:w="1330" w:type="dxa"/>
            <w:tcBorders>
              <w:bottom w:val="single" w:sz="4" w:space="0" w:color="auto"/>
            </w:tcBorders>
          </w:tcPr>
          <w:p w14:paraId="0DD7F3D4" w14:textId="77777777" w:rsidR="00463AF3" w:rsidRPr="003B14E9" w:rsidRDefault="00463AF3" w:rsidP="00463AF3">
            <w:pPr>
              <w:jc w:val="both"/>
              <w:rPr>
                <w:sz w:val="18"/>
                <w:szCs w:val="18"/>
                <w:lang w:val="ro-MD"/>
              </w:rPr>
            </w:pPr>
          </w:p>
        </w:tc>
      </w:tr>
      <w:tr w:rsidR="00463AF3" w:rsidRPr="003B14E9" w14:paraId="7A63E788" w14:textId="77777777" w:rsidTr="00604EF1">
        <w:trPr>
          <w:trHeight w:val="918"/>
        </w:trPr>
        <w:tc>
          <w:tcPr>
            <w:tcW w:w="4473" w:type="dxa"/>
          </w:tcPr>
          <w:p w14:paraId="71530BD1" w14:textId="766EBA73" w:rsidR="00463AF3" w:rsidRPr="003B14E9" w:rsidRDefault="00463AF3" w:rsidP="00463AF3">
            <w:pPr>
              <w:pStyle w:val="CM4"/>
              <w:spacing w:before="60" w:after="60"/>
              <w:rPr>
                <w:rFonts w:ascii="Times New Roman" w:hAnsi="Times New Roman"/>
                <w:color w:val="000000"/>
                <w:sz w:val="20"/>
                <w:szCs w:val="20"/>
              </w:rPr>
            </w:pPr>
            <w:r w:rsidRPr="003B14E9">
              <w:rPr>
                <w:rFonts w:ascii="Times New Roman" w:hAnsi="Times New Roman"/>
                <w:i/>
                <w:iCs/>
                <w:color w:val="000000"/>
                <w:sz w:val="20"/>
                <w:szCs w:val="20"/>
              </w:rPr>
              <w:lastRenderedPageBreak/>
              <w:t>Articolul 279</w:t>
            </w:r>
            <w:r w:rsidR="00141A4D" w:rsidRPr="003B14E9">
              <w:rPr>
                <w:rFonts w:ascii="Times New Roman" w:hAnsi="Times New Roman"/>
                <w:i/>
                <w:iCs/>
                <w:color w:val="000000"/>
                <w:sz w:val="20"/>
                <w:szCs w:val="20"/>
              </w:rPr>
              <w:t xml:space="preserve"> </w:t>
            </w:r>
            <w:r w:rsidRPr="003B14E9">
              <w:rPr>
                <w:rFonts w:ascii="Times New Roman" w:hAnsi="Times New Roman"/>
                <w:b/>
                <w:bCs/>
                <w:color w:val="000000"/>
                <w:sz w:val="20"/>
                <w:szCs w:val="20"/>
              </w:rPr>
              <w:t>Calculul poziţiei de risc</w:t>
            </w:r>
          </w:p>
          <w:p w14:paraId="19F93449" w14:textId="77777777" w:rsidR="00463AF3" w:rsidRPr="003B14E9" w:rsidRDefault="00463AF3" w:rsidP="00463AF3">
            <w:pPr>
              <w:pStyle w:val="CM4"/>
              <w:spacing w:before="60" w:after="60"/>
              <w:rPr>
                <w:rFonts w:ascii="Times New Roman" w:hAnsi="Times New Roman"/>
                <w:color w:val="000000"/>
                <w:sz w:val="20"/>
                <w:szCs w:val="20"/>
              </w:rPr>
            </w:pPr>
            <w:r w:rsidRPr="003B14E9">
              <w:rPr>
                <w:rFonts w:ascii="Times New Roman" w:hAnsi="Times New Roman"/>
                <w:color w:val="000000"/>
                <w:sz w:val="20"/>
                <w:szCs w:val="20"/>
              </w:rPr>
              <w:t xml:space="preserve">Pentru calcularea majorărilor aferente categoriilor de risc menţionate la articolele 280a-280f, instituţiile calculează poziţia de risc (RiskPosition) a fiecărei tranzacţii dintr-un set de compensare după cum urmează: </w:t>
            </w:r>
          </w:p>
          <w:p w14:paraId="0857829B" w14:textId="77777777" w:rsidR="00463AF3" w:rsidRPr="003B14E9" w:rsidRDefault="00463AF3" w:rsidP="00463AF3">
            <w:pPr>
              <w:pStyle w:val="CM4"/>
              <w:spacing w:before="60" w:after="60"/>
              <w:jc w:val="center"/>
              <w:rPr>
                <w:rFonts w:ascii="Times New Roman" w:hAnsi="Times New Roman"/>
                <w:color w:val="000000"/>
                <w:sz w:val="20"/>
                <w:szCs w:val="20"/>
              </w:rPr>
            </w:pPr>
            <w:r w:rsidRPr="003B14E9">
              <w:rPr>
                <w:rFonts w:ascii="Times New Roman" w:hAnsi="Times New Roman"/>
                <w:color w:val="000000"/>
                <w:sz w:val="20"/>
                <w:szCs w:val="20"/>
              </w:rPr>
              <w:t>Poziţia de risc = δ · AdjNot · MF</w:t>
            </w:r>
          </w:p>
          <w:p w14:paraId="203A1C9F" w14:textId="77777777" w:rsidR="00463AF3" w:rsidRPr="003B14E9" w:rsidRDefault="00463AF3" w:rsidP="00463AF3">
            <w:pPr>
              <w:pStyle w:val="CM4"/>
              <w:spacing w:before="60" w:after="60"/>
              <w:rPr>
                <w:rFonts w:ascii="Times New Roman" w:hAnsi="Times New Roman"/>
                <w:color w:val="000000"/>
                <w:sz w:val="20"/>
                <w:szCs w:val="20"/>
              </w:rPr>
            </w:pPr>
            <w:r w:rsidRPr="003B14E9">
              <w:rPr>
                <w:rFonts w:ascii="Times New Roman" w:hAnsi="Times New Roman"/>
                <w:color w:val="000000"/>
                <w:sz w:val="20"/>
                <w:szCs w:val="20"/>
              </w:rPr>
              <w:t xml:space="preserve">unde: </w:t>
            </w:r>
          </w:p>
          <w:p w14:paraId="7068CEF5" w14:textId="77777777" w:rsidR="00463AF3" w:rsidRPr="003B14E9" w:rsidRDefault="00463AF3" w:rsidP="00463AF3">
            <w:pPr>
              <w:pStyle w:val="CM4"/>
              <w:spacing w:before="60" w:after="60"/>
              <w:rPr>
                <w:rFonts w:ascii="Times New Roman" w:hAnsi="Times New Roman"/>
                <w:color w:val="000000"/>
                <w:sz w:val="20"/>
                <w:szCs w:val="20"/>
              </w:rPr>
            </w:pPr>
            <w:r w:rsidRPr="003B14E9">
              <w:rPr>
                <w:rFonts w:ascii="Times New Roman" w:hAnsi="Times New Roman"/>
                <w:color w:val="000000"/>
                <w:sz w:val="20"/>
                <w:szCs w:val="20"/>
              </w:rPr>
              <w:t xml:space="preserve">δ = delta reglementat al tranzacţiei, calculat în conformitate cu formula prevăzută la articolul 279a; </w:t>
            </w:r>
          </w:p>
          <w:p w14:paraId="7FD88CFA" w14:textId="77777777" w:rsidR="00463AF3" w:rsidRPr="003B14E9" w:rsidRDefault="00463AF3" w:rsidP="00463AF3">
            <w:pPr>
              <w:pStyle w:val="CM4"/>
              <w:spacing w:before="60" w:after="60"/>
              <w:rPr>
                <w:rFonts w:ascii="Times New Roman" w:hAnsi="Times New Roman"/>
                <w:color w:val="000000"/>
                <w:sz w:val="20"/>
                <w:szCs w:val="20"/>
              </w:rPr>
            </w:pPr>
            <w:r w:rsidRPr="003B14E9">
              <w:rPr>
                <w:rFonts w:ascii="Times New Roman" w:hAnsi="Times New Roman"/>
                <w:color w:val="000000"/>
                <w:sz w:val="20"/>
                <w:szCs w:val="20"/>
              </w:rPr>
              <w:t xml:space="preserve">AdjNot = valoarea noţională ajustată a tranzacţiei, calculată în conformitate cu articolul 279b; și </w:t>
            </w:r>
          </w:p>
          <w:p w14:paraId="31A55C51" w14:textId="5D8BF388" w:rsidR="00463AF3" w:rsidRPr="003B14E9" w:rsidRDefault="00463AF3" w:rsidP="00463AF3">
            <w:pPr>
              <w:pStyle w:val="CM4"/>
              <w:spacing w:before="60" w:after="60"/>
              <w:rPr>
                <w:rFonts w:ascii="Times New Roman" w:hAnsi="Times New Roman"/>
                <w:color w:val="000000"/>
                <w:sz w:val="20"/>
                <w:szCs w:val="20"/>
              </w:rPr>
            </w:pPr>
            <w:r w:rsidRPr="003B14E9">
              <w:rPr>
                <w:rFonts w:ascii="Times New Roman" w:hAnsi="Times New Roman"/>
                <w:color w:val="000000"/>
                <w:sz w:val="20"/>
                <w:szCs w:val="20"/>
              </w:rPr>
              <w:t xml:space="preserve">MF = factorul de ajustare în funcţie de scadenţă al tranzacţiei, calculat în conformitate cu formula prevăzută la articolul 279c.  </w:t>
            </w:r>
          </w:p>
          <w:p w14:paraId="68F15719" w14:textId="77777777" w:rsidR="00463AF3" w:rsidRPr="003B14E9" w:rsidRDefault="00463AF3" w:rsidP="00463AF3">
            <w:pPr>
              <w:pStyle w:val="title-article-norm"/>
              <w:jc w:val="both"/>
              <w:rPr>
                <w:i w:val="0"/>
                <w:sz w:val="18"/>
                <w:szCs w:val="18"/>
                <w:lang w:val="ro-MD"/>
              </w:rPr>
            </w:pPr>
          </w:p>
        </w:tc>
        <w:tc>
          <w:tcPr>
            <w:tcW w:w="4425" w:type="dxa"/>
            <w:shd w:val="clear" w:color="auto" w:fill="auto"/>
          </w:tcPr>
          <w:p w14:paraId="2FD34EE4" w14:textId="77777777" w:rsidR="00463AF3" w:rsidRPr="003B14E9" w:rsidRDefault="00463AF3" w:rsidP="00463AF3">
            <w:pPr>
              <w:autoSpaceDE w:val="0"/>
              <w:autoSpaceDN w:val="0"/>
              <w:adjustRightInd w:val="0"/>
              <w:spacing w:before="60" w:after="60"/>
              <w:jc w:val="center"/>
              <w:rPr>
                <w:rFonts w:eastAsiaTheme="minorHAnsi"/>
                <w:i/>
                <w:iCs/>
                <w:color w:val="000000"/>
                <w:sz w:val="18"/>
                <w:szCs w:val="18"/>
                <w:lang w:val="ro-MD" w:eastAsia="en-US"/>
                <w14:ligatures w14:val="standardContextual"/>
              </w:rPr>
            </w:pPr>
            <w:r w:rsidRPr="003B14E9">
              <w:rPr>
                <w:rFonts w:eastAsiaTheme="minorHAnsi"/>
                <w:i/>
                <w:iCs/>
                <w:color w:val="000000"/>
                <w:sz w:val="18"/>
                <w:szCs w:val="18"/>
                <w:lang w:val="ro-MD" w:eastAsia="en-US"/>
                <w14:ligatures w14:val="standardContextual"/>
              </w:rPr>
              <w:t>Secțiunea a 7-a</w:t>
            </w:r>
          </w:p>
          <w:p w14:paraId="588654E6" w14:textId="77777777" w:rsidR="00463AF3" w:rsidRPr="003B14E9" w:rsidRDefault="00463AF3" w:rsidP="00463AF3">
            <w:pPr>
              <w:autoSpaceDE w:val="0"/>
              <w:autoSpaceDN w:val="0"/>
              <w:adjustRightInd w:val="0"/>
              <w:jc w:val="center"/>
              <w:rPr>
                <w:rFonts w:eastAsiaTheme="minorHAnsi"/>
                <w:b/>
                <w:bCs/>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Calculul poziţiei de risc</w:t>
            </w:r>
          </w:p>
          <w:p w14:paraId="3473CDC1" w14:textId="77777777" w:rsidR="00463AF3" w:rsidRPr="003B14E9" w:rsidRDefault="00463AF3" w:rsidP="00463AF3">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54.</w:t>
            </w:r>
            <w:r w:rsidRPr="003B14E9">
              <w:rPr>
                <w:rFonts w:eastAsiaTheme="minorHAnsi"/>
                <w:color w:val="000000"/>
                <w:sz w:val="18"/>
                <w:szCs w:val="18"/>
                <w:lang w:val="ro-MD" w:eastAsia="en-US"/>
                <w14:ligatures w14:val="standardContextual"/>
              </w:rPr>
              <w:t xml:space="preserve"> Pentru calcularea majorărilor aferente categoriilor de risc menţionate la punctele 63-83, băncile calculează poziţia de risc (RiskPosition) a fiecărei tranzacţii dintr-un set de compensare după cum urmează: </w:t>
            </w:r>
          </w:p>
          <w:p w14:paraId="59A9228E" w14:textId="77777777" w:rsidR="00463AF3" w:rsidRPr="003B14E9" w:rsidRDefault="00463AF3" w:rsidP="00463AF3">
            <w:pPr>
              <w:autoSpaceDE w:val="0"/>
              <w:autoSpaceDN w:val="0"/>
              <w:adjustRightInd w:val="0"/>
              <w:jc w:val="center"/>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Poziţia de risc = δ · AdjNot · MF</w:t>
            </w:r>
          </w:p>
          <w:p w14:paraId="489F7954" w14:textId="77777777" w:rsidR="00463AF3" w:rsidRPr="003B14E9" w:rsidRDefault="00463AF3" w:rsidP="00463AF3">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28FE59E4" w14:textId="77777777" w:rsidR="00463AF3" w:rsidRPr="003B14E9" w:rsidRDefault="00463AF3" w:rsidP="00463AF3">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δ = delta reglementat al tranzacţiei, calculat în conformitate cu formula prevăzută la punctele 55 și 56; </w:t>
            </w:r>
          </w:p>
          <w:p w14:paraId="40CB5984" w14:textId="77777777" w:rsidR="00463AF3" w:rsidRPr="003B14E9" w:rsidRDefault="00463AF3" w:rsidP="00463AF3">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AdjNot = valoarea noţională ajustată a tranzacţiei, calculată în conformitate cu punctele 57-59; și </w:t>
            </w:r>
          </w:p>
          <w:p w14:paraId="5436070D" w14:textId="77777777" w:rsidR="00463AF3" w:rsidRPr="003B14E9" w:rsidRDefault="00463AF3" w:rsidP="00463AF3">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MF = factorul de ajustare în funcţie de scadenţă al tranzacţiei, calculat în conformitate cu formula prevăzută la punctele 60 și 61. </w:t>
            </w:r>
          </w:p>
          <w:p w14:paraId="0DA74190" w14:textId="77777777" w:rsidR="00463AF3" w:rsidRPr="003B14E9" w:rsidRDefault="00463AF3" w:rsidP="00463AF3">
            <w:pPr>
              <w:pStyle w:val="NoSpacing"/>
              <w:tabs>
                <w:tab w:val="left" w:pos="328"/>
              </w:tabs>
              <w:jc w:val="both"/>
              <w:rPr>
                <w:rFonts w:ascii="Times New Roman" w:hAnsi="Times New Roman" w:cs="Times New Roman"/>
                <w:b/>
                <w:bCs/>
                <w:sz w:val="18"/>
                <w:szCs w:val="18"/>
                <w:lang w:val="ro-MD"/>
              </w:rPr>
            </w:pPr>
          </w:p>
        </w:tc>
        <w:tc>
          <w:tcPr>
            <w:tcW w:w="1160" w:type="dxa"/>
          </w:tcPr>
          <w:p w14:paraId="648ADEDE" w14:textId="37B95F5B" w:rsidR="00463AF3" w:rsidRPr="003B14E9" w:rsidRDefault="00463AF3" w:rsidP="00463AF3">
            <w:pPr>
              <w:jc w:val="both"/>
              <w:rPr>
                <w:sz w:val="18"/>
                <w:szCs w:val="18"/>
                <w:lang w:val="ro-MD"/>
              </w:rPr>
            </w:pPr>
            <w:r w:rsidRPr="003B14E9">
              <w:rPr>
                <w:sz w:val="18"/>
                <w:szCs w:val="18"/>
                <w:lang w:val="ro-MD"/>
              </w:rPr>
              <w:t>Compatibil</w:t>
            </w:r>
          </w:p>
        </w:tc>
        <w:tc>
          <w:tcPr>
            <w:tcW w:w="3041" w:type="dxa"/>
          </w:tcPr>
          <w:p w14:paraId="3E94D546" w14:textId="77777777" w:rsidR="00463AF3" w:rsidRPr="003B14E9" w:rsidRDefault="00463AF3" w:rsidP="00463AF3">
            <w:pPr>
              <w:rPr>
                <w:sz w:val="18"/>
                <w:szCs w:val="18"/>
                <w:highlight w:val="red"/>
                <w:lang w:val="ro-MD"/>
              </w:rPr>
            </w:pPr>
          </w:p>
        </w:tc>
        <w:tc>
          <w:tcPr>
            <w:tcW w:w="1055" w:type="dxa"/>
            <w:tcBorders>
              <w:top w:val="single" w:sz="4" w:space="0" w:color="auto"/>
              <w:bottom w:val="single" w:sz="4" w:space="0" w:color="auto"/>
            </w:tcBorders>
          </w:tcPr>
          <w:p w14:paraId="6EC6A41C" w14:textId="77777777" w:rsidR="00463AF3" w:rsidRPr="003B14E9" w:rsidRDefault="00463AF3" w:rsidP="00463AF3">
            <w:pPr>
              <w:jc w:val="both"/>
              <w:rPr>
                <w:sz w:val="18"/>
                <w:szCs w:val="18"/>
                <w:lang w:val="ro-MD"/>
              </w:rPr>
            </w:pPr>
          </w:p>
        </w:tc>
        <w:tc>
          <w:tcPr>
            <w:tcW w:w="1330" w:type="dxa"/>
            <w:tcBorders>
              <w:bottom w:val="single" w:sz="4" w:space="0" w:color="auto"/>
            </w:tcBorders>
          </w:tcPr>
          <w:p w14:paraId="5592C387" w14:textId="77777777" w:rsidR="00463AF3" w:rsidRPr="003B14E9" w:rsidRDefault="00463AF3" w:rsidP="00463AF3">
            <w:pPr>
              <w:jc w:val="both"/>
              <w:rPr>
                <w:sz w:val="18"/>
                <w:szCs w:val="18"/>
                <w:lang w:val="ro-MD"/>
              </w:rPr>
            </w:pPr>
          </w:p>
        </w:tc>
      </w:tr>
      <w:tr w:rsidR="000B234D" w:rsidRPr="003B14E9" w14:paraId="742A2173" w14:textId="77777777" w:rsidTr="00604EF1">
        <w:trPr>
          <w:trHeight w:val="918"/>
        </w:trPr>
        <w:tc>
          <w:tcPr>
            <w:tcW w:w="4473" w:type="dxa"/>
          </w:tcPr>
          <w:p w14:paraId="478EDA8E" w14:textId="74C1A176"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t>Articolul 279a</w:t>
            </w:r>
            <w:r w:rsidR="00141A4D"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Delta reglementat</w:t>
            </w:r>
          </w:p>
          <w:p w14:paraId="4E634C88"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Instituţiile calculează delta reglementat după cum urmează: </w:t>
            </w:r>
          </w:p>
          <w:p w14:paraId="527BDA2B"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 în cazul opţiunilor call și put care îi dau dreptul cumpărătorului opţiunii să cumpere sau să vândă un instrument-suport la un preţ pozitiv la o dată unică sau la multiple date din viitor, cu excepţia cazului în care aceste </w:t>
            </w:r>
            <w:r w:rsidRPr="003B14E9">
              <w:rPr>
                <w:rFonts w:ascii="Times New Roman" w:hAnsi="Times New Roman"/>
                <w:color w:val="000000"/>
                <w:sz w:val="18"/>
                <w:szCs w:val="18"/>
              </w:rPr>
              <w:lastRenderedPageBreak/>
              <w:t xml:space="preserve">opţiuni sunt încadrate în categoria de risc de rată a dobânzii, instituţiile utilizează următoarea formulă: </w:t>
            </w:r>
          </w:p>
          <w:p w14:paraId="746D7883" w14:textId="77777777" w:rsidR="000B234D" w:rsidRPr="003B14E9" w:rsidRDefault="000B234D" w:rsidP="000B234D">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65681046" wp14:editId="64453B1F">
                  <wp:extent cx="2265374" cy="345057"/>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0240" cy="353414"/>
                          </a:xfrm>
                          <a:prstGeom prst="rect">
                            <a:avLst/>
                          </a:prstGeom>
                          <a:noFill/>
                        </pic:spPr>
                      </pic:pic>
                    </a:graphicData>
                  </a:graphic>
                </wp:inline>
              </w:drawing>
            </w:r>
          </w:p>
          <w:p w14:paraId="26B53214"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104EDFBE"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δ = delta reglementat </w:t>
            </w:r>
          </w:p>
          <w:p w14:paraId="3CEA3186"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semn (sign) = – 1 dacă tranzacţia este o opţiune call vândută sau o opţiune put cumpărată; </w:t>
            </w:r>
          </w:p>
          <w:p w14:paraId="7F7AAFAD"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semn (sign) = + 1 dacă tranzacţia este o opţiune call cumpărată sau o opţiune put vândută; </w:t>
            </w:r>
          </w:p>
          <w:p w14:paraId="20B2836D"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tip (type) = – 1 dacă tranzacţia este o opţiune put; </w:t>
            </w:r>
          </w:p>
          <w:p w14:paraId="7B689E92"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tip (type) = + 1 dacă tranzacţia este o opţiune call; </w:t>
            </w:r>
          </w:p>
          <w:p w14:paraId="77984D28"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N(x) = funcţia de distribuţie cumulativă pentru o variabilă aleatorie normală standard, care exprimă probabilitatea ca o variabilă aleatorie normal distribuită, cu media zero și varianţa 1, să fie mai mică sau egală cu x; </w:t>
            </w:r>
          </w:p>
          <w:p w14:paraId="28D4FD21"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P = preţul la vedere sau la termen al instrumentului- suport al opţiunii; pentru opţiuni ale căror fluxuri de numerar depind de o valoare medie a preţului instrumentului-suport, P este egal cu valoarea medie la data calculului; </w:t>
            </w:r>
          </w:p>
          <w:p w14:paraId="0DFFAFBC"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K = preţul de exercitare a opţiunii; </w:t>
            </w:r>
          </w:p>
          <w:p w14:paraId="2505837C"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T = perioada cuprinsă între data expirării opţiunii (T exp ) și data raportării; pentru opţiuni care pot fi exercitate numai la o dată viitoare, T exp este egală cu data respectivă; pentru opţiuni care pot fi exercitate la multiple date viitoare, T exp este egală cu ultima dintre datele respective; T se exprimă în ani, utilizând convenţia privind zilele lucrătoare relevantă; și </w:t>
            </w:r>
          </w:p>
          <w:p w14:paraId="5F91EAC3"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σ = volatilitatea reglementată a opţiunii, determinată în conformitate cu tabelul 1 în funcţie de categoria de risc a tranzacţiei și de natura instrumentului-suport al opţiunii. </w:t>
            </w:r>
          </w:p>
          <w:p w14:paraId="7BE815F3" w14:textId="77777777" w:rsidR="000B234D" w:rsidRPr="003B14E9" w:rsidRDefault="000B234D" w:rsidP="000B234D">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t>Tabelul 1</w:t>
            </w:r>
          </w:p>
          <w:tbl>
            <w:tblPr>
              <w:tblW w:w="423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93"/>
              <w:gridCol w:w="2625"/>
              <w:gridCol w:w="714"/>
            </w:tblGrid>
            <w:tr w:rsidR="000B234D" w:rsidRPr="003B14E9" w14:paraId="44D3E9EB" w14:textId="77777777" w:rsidTr="00B11411">
              <w:trPr>
                <w:trHeight w:val="372"/>
              </w:trPr>
              <w:tc>
                <w:tcPr>
                  <w:tcW w:w="893" w:type="dxa"/>
                  <w:tcBorders>
                    <w:top w:val="outset" w:sz="6" w:space="0" w:color="auto"/>
                    <w:left w:val="outset" w:sz="6" w:space="0" w:color="auto"/>
                    <w:bottom w:val="outset" w:sz="6" w:space="0" w:color="auto"/>
                    <w:right w:val="outset" w:sz="6" w:space="0" w:color="auto"/>
                  </w:tcBorders>
                  <w:shd w:val="clear" w:color="auto" w:fill="FFFFFF"/>
                  <w:hideMark/>
                </w:tcPr>
                <w:p w14:paraId="119F06B0" w14:textId="77777777" w:rsidR="000B234D" w:rsidRPr="003B14E9" w:rsidRDefault="000B234D" w:rsidP="000B234D">
                  <w:pPr>
                    <w:spacing w:before="60" w:after="60"/>
                    <w:jc w:val="center"/>
                    <w:rPr>
                      <w:color w:val="333333"/>
                      <w:sz w:val="18"/>
                      <w:szCs w:val="18"/>
                      <w:lang w:val="en-US" w:eastAsia="ro-MD"/>
                    </w:rPr>
                  </w:pPr>
                  <w:r w:rsidRPr="003B14E9">
                    <w:rPr>
                      <w:color w:val="333333"/>
                      <w:sz w:val="18"/>
                      <w:szCs w:val="18"/>
                      <w:lang w:val="en-US" w:eastAsia="ro-MD"/>
                    </w:rPr>
                    <w:lastRenderedPageBreak/>
                    <w:t>Categorie de risc</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1CD047B6" w14:textId="77777777" w:rsidR="000B234D" w:rsidRPr="003B14E9" w:rsidRDefault="000B234D" w:rsidP="000B234D">
                  <w:pPr>
                    <w:spacing w:before="60" w:after="60"/>
                    <w:jc w:val="center"/>
                    <w:rPr>
                      <w:color w:val="333333"/>
                      <w:sz w:val="18"/>
                      <w:szCs w:val="18"/>
                      <w:lang w:val="en-US" w:eastAsia="ro-MD"/>
                    </w:rPr>
                  </w:pPr>
                  <w:r w:rsidRPr="003B14E9">
                    <w:rPr>
                      <w:color w:val="333333"/>
                      <w:sz w:val="18"/>
                      <w:szCs w:val="18"/>
                      <w:lang w:val="en-US" w:eastAsia="ro-MD"/>
                    </w:rPr>
                    <w:t>Instrumentul-suport</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7D5BC650" w14:textId="77777777" w:rsidR="000B234D" w:rsidRPr="003B14E9" w:rsidRDefault="000B234D" w:rsidP="000B234D">
                  <w:pPr>
                    <w:spacing w:before="60" w:after="60"/>
                    <w:jc w:val="center"/>
                    <w:rPr>
                      <w:color w:val="333333"/>
                      <w:sz w:val="18"/>
                      <w:szCs w:val="18"/>
                      <w:lang w:val="en-US" w:eastAsia="ro-MD"/>
                    </w:rPr>
                  </w:pPr>
                  <w:r w:rsidRPr="003B14E9">
                    <w:rPr>
                      <w:color w:val="333333"/>
                      <w:sz w:val="18"/>
                      <w:szCs w:val="18"/>
                      <w:lang w:val="en-US" w:eastAsia="ro-MD"/>
                    </w:rPr>
                    <w:t>Volatilitatea reglementată</w:t>
                  </w:r>
                </w:p>
              </w:tc>
            </w:tr>
            <w:tr w:rsidR="000B234D" w:rsidRPr="003B14E9" w14:paraId="0B7CE8DA" w14:textId="77777777" w:rsidTr="00B11411">
              <w:trPr>
                <w:trHeight w:val="383"/>
              </w:trPr>
              <w:tc>
                <w:tcPr>
                  <w:tcW w:w="893" w:type="dxa"/>
                  <w:tcBorders>
                    <w:top w:val="outset" w:sz="6" w:space="0" w:color="auto"/>
                    <w:left w:val="outset" w:sz="6" w:space="0" w:color="auto"/>
                    <w:bottom w:val="outset" w:sz="6" w:space="0" w:color="auto"/>
                    <w:right w:val="outset" w:sz="6" w:space="0" w:color="auto"/>
                  </w:tcBorders>
                  <w:shd w:val="clear" w:color="auto" w:fill="FFFFFF"/>
                  <w:hideMark/>
                </w:tcPr>
                <w:p w14:paraId="10C1A3C8"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Schimb valutar</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FB4E71A"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Toate</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0A12BA2C"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15 %</w:t>
                  </w:r>
                </w:p>
              </w:tc>
            </w:tr>
            <w:tr w:rsidR="000B234D" w:rsidRPr="003B14E9" w14:paraId="279F761F" w14:textId="77777777" w:rsidTr="00B11411">
              <w:trPr>
                <w:trHeight w:val="395"/>
              </w:trPr>
              <w:tc>
                <w:tcPr>
                  <w:tcW w:w="89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1FDB5E1"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Credit</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0D376BE8"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Instrument având la bază o singură semnătură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22335DBA"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100 %</w:t>
                  </w:r>
                </w:p>
              </w:tc>
            </w:tr>
            <w:tr w:rsidR="000B234D" w:rsidRPr="003B14E9" w14:paraId="419C0CE8" w14:textId="77777777" w:rsidTr="00B11411">
              <w:trPr>
                <w:trHeight w:val="123"/>
              </w:trPr>
              <w:tc>
                <w:tcPr>
                  <w:tcW w:w="8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835D07" w14:textId="77777777" w:rsidR="000B234D" w:rsidRPr="003B14E9" w:rsidRDefault="000B234D" w:rsidP="000B234D">
                  <w:pPr>
                    <w:jc w:val="center"/>
                    <w:rPr>
                      <w:color w:val="333333"/>
                      <w:sz w:val="18"/>
                      <w:szCs w:val="18"/>
                      <w:lang w:eastAsia="ro-MD"/>
                    </w:rPr>
                  </w:pP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994A03F"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Instrument având la bază mai multe semnături</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05D46E67"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80 %</w:t>
                  </w:r>
                </w:p>
              </w:tc>
            </w:tr>
            <w:tr w:rsidR="000B234D" w:rsidRPr="003B14E9" w14:paraId="6162299D" w14:textId="77777777" w:rsidTr="00B11411">
              <w:trPr>
                <w:trHeight w:val="407"/>
              </w:trPr>
              <w:tc>
                <w:tcPr>
                  <w:tcW w:w="89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AA7EF8F"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Titluri de capital</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379DFB2B"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Instrument având la bază o singură semnătură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42B97FA1"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120 %</w:t>
                  </w:r>
                </w:p>
              </w:tc>
            </w:tr>
            <w:tr w:rsidR="000B234D" w:rsidRPr="003B14E9" w14:paraId="0EC504CB" w14:textId="77777777" w:rsidTr="00B11411">
              <w:trPr>
                <w:trHeight w:val="123"/>
              </w:trPr>
              <w:tc>
                <w:tcPr>
                  <w:tcW w:w="8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E35BFB" w14:textId="77777777" w:rsidR="000B234D" w:rsidRPr="003B14E9" w:rsidRDefault="000B234D" w:rsidP="000B234D">
                  <w:pPr>
                    <w:jc w:val="center"/>
                    <w:rPr>
                      <w:color w:val="333333"/>
                      <w:sz w:val="18"/>
                      <w:szCs w:val="18"/>
                      <w:lang w:eastAsia="ro-MD"/>
                    </w:rPr>
                  </w:pP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64C6DE5"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Instrument având la bază mai multe semnături</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1D20CF7F"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75 %</w:t>
                  </w:r>
                </w:p>
              </w:tc>
            </w:tr>
            <w:tr w:rsidR="000B234D" w:rsidRPr="003B14E9" w14:paraId="6F354D18" w14:textId="77777777" w:rsidTr="00B11411">
              <w:trPr>
                <w:trHeight w:val="395"/>
              </w:trPr>
              <w:tc>
                <w:tcPr>
                  <w:tcW w:w="89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755A86D"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Marfă</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C2B3EC7"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Energie electrică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521448AF" w14:textId="77777777" w:rsidR="000B234D" w:rsidRPr="003B14E9" w:rsidRDefault="000B234D" w:rsidP="000B234D">
                  <w:pPr>
                    <w:spacing w:before="60" w:after="60"/>
                    <w:jc w:val="both"/>
                    <w:rPr>
                      <w:color w:val="333333"/>
                      <w:sz w:val="18"/>
                      <w:szCs w:val="18"/>
                      <w:lang w:eastAsia="ro-MD"/>
                    </w:rPr>
                  </w:pPr>
                  <w:r w:rsidRPr="003B14E9">
                    <w:rPr>
                      <w:color w:val="333333"/>
                      <w:sz w:val="18"/>
                      <w:szCs w:val="18"/>
                      <w:lang w:eastAsia="ro-MD"/>
                    </w:rPr>
                    <w:t>150 %</w:t>
                  </w:r>
                </w:p>
              </w:tc>
            </w:tr>
            <w:tr w:rsidR="000B234D" w:rsidRPr="003B14E9" w14:paraId="60C7B4F9" w14:textId="77777777" w:rsidTr="00B11411">
              <w:trPr>
                <w:trHeight w:val="123"/>
              </w:trPr>
              <w:tc>
                <w:tcPr>
                  <w:tcW w:w="8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DB84A8" w14:textId="77777777" w:rsidR="000B234D" w:rsidRPr="003B14E9" w:rsidRDefault="000B234D" w:rsidP="000B234D">
                  <w:pPr>
                    <w:jc w:val="center"/>
                    <w:rPr>
                      <w:color w:val="333333"/>
                      <w:sz w:val="18"/>
                      <w:szCs w:val="18"/>
                      <w:lang w:eastAsia="ro-MD"/>
                    </w:rPr>
                  </w:pP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027D1373"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Alte mărfuri (mai puțin energia electrică)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135FE458"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70 %</w:t>
                  </w:r>
                </w:p>
              </w:tc>
            </w:tr>
            <w:tr w:rsidR="000B234D" w:rsidRPr="003B14E9" w14:paraId="6F385BD7" w14:textId="77777777" w:rsidTr="00B11411">
              <w:trPr>
                <w:trHeight w:val="372"/>
              </w:trPr>
              <w:tc>
                <w:tcPr>
                  <w:tcW w:w="893" w:type="dxa"/>
                  <w:tcBorders>
                    <w:top w:val="outset" w:sz="6" w:space="0" w:color="auto"/>
                    <w:left w:val="outset" w:sz="6" w:space="0" w:color="auto"/>
                    <w:bottom w:val="outset" w:sz="6" w:space="0" w:color="auto"/>
                    <w:right w:val="outset" w:sz="6" w:space="0" w:color="auto"/>
                  </w:tcBorders>
                  <w:shd w:val="clear" w:color="auto" w:fill="FFFFFF"/>
                  <w:hideMark/>
                </w:tcPr>
                <w:p w14:paraId="68769D5B"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Altele</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297F914A"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Toate</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1DF58692" w14:textId="77777777" w:rsidR="000B234D" w:rsidRPr="003B14E9" w:rsidRDefault="000B234D" w:rsidP="000B234D">
                  <w:pPr>
                    <w:spacing w:before="60" w:after="60"/>
                    <w:jc w:val="both"/>
                    <w:rPr>
                      <w:color w:val="333333"/>
                      <w:sz w:val="18"/>
                      <w:szCs w:val="18"/>
                      <w:lang w:val="en-US" w:eastAsia="ro-MD"/>
                    </w:rPr>
                  </w:pPr>
                  <w:r w:rsidRPr="003B14E9">
                    <w:rPr>
                      <w:color w:val="333333"/>
                      <w:sz w:val="18"/>
                      <w:szCs w:val="18"/>
                      <w:lang w:val="en-US" w:eastAsia="ro-MD"/>
                    </w:rPr>
                    <w:t>150 %</w:t>
                  </w:r>
                </w:p>
              </w:tc>
            </w:tr>
          </w:tbl>
          <w:p w14:paraId="602827E9"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Instituţiile care utilizează preţul la termen al instrumentului-suport al unei opţiuni se asigură că: </w:t>
            </w:r>
          </w:p>
          <w:p w14:paraId="7F90098E"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preţul la termen este în concordanţă cu caracteristicile opţiunii; </w:t>
            </w:r>
          </w:p>
          <w:p w14:paraId="53CB8CB6"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 preţul la termen se calculează utilizând o rată a dobânzii relevantă care predomină la data raportării; </w:t>
            </w:r>
          </w:p>
          <w:p w14:paraId="42E21355"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(iii) preţul la termen integrează fluxurile de numerar preconizate ale instrumentului-suport înainte de expirarea opţiunii; </w:t>
            </w:r>
          </w:p>
          <w:p w14:paraId="760C8F53"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pentru tranșele unei securitizări sintetice și pentru un instrument financiar derivat de credit de tip „n th -to-default” (al n-lea caz de nerambursare), instituţiile utilizează următoarea formulă: </w:t>
            </w:r>
          </w:p>
          <w:p w14:paraId="5AE34F1F" w14:textId="77777777" w:rsidR="000B234D" w:rsidRPr="003B14E9" w:rsidRDefault="000B234D" w:rsidP="000B234D">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4EFA1177" wp14:editId="6A7CF013">
                  <wp:extent cx="1639019" cy="341262"/>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4398" cy="346546"/>
                          </a:xfrm>
                          <a:prstGeom prst="rect">
                            <a:avLst/>
                          </a:prstGeom>
                          <a:noFill/>
                        </pic:spPr>
                      </pic:pic>
                    </a:graphicData>
                  </a:graphic>
                </wp:inline>
              </w:drawing>
            </w:r>
          </w:p>
          <w:p w14:paraId="5D5F4EB9"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tbl>
            <w:tblPr>
              <w:tblStyle w:val="TableGrid"/>
              <w:tblW w:w="4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
              <w:gridCol w:w="470"/>
              <w:gridCol w:w="3085"/>
            </w:tblGrid>
            <w:tr w:rsidR="000B234D" w:rsidRPr="003B14E9" w14:paraId="4C760AE1" w14:textId="77777777" w:rsidTr="00B11411">
              <w:trPr>
                <w:trHeight w:val="440"/>
              </w:trPr>
              <w:tc>
                <w:tcPr>
                  <w:tcW w:w="719" w:type="dxa"/>
                  <w:vMerge w:val="restart"/>
                </w:tcPr>
                <w:p w14:paraId="2C5BEFB7"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semn (sign) =</w:t>
                  </w:r>
                </w:p>
              </w:tc>
              <w:tc>
                <w:tcPr>
                  <w:tcW w:w="470" w:type="dxa"/>
                  <w:vMerge w:val="restart"/>
                </w:tcPr>
                <w:p w14:paraId="5E081785"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w:t>
                  </w:r>
                </w:p>
              </w:tc>
              <w:tc>
                <w:tcPr>
                  <w:tcW w:w="3085" w:type="dxa"/>
                </w:tcPr>
                <w:p w14:paraId="777B3390"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+ 1 dacă prin tranzacţie s-a obţinut protecţia creditului</w:t>
                  </w:r>
                </w:p>
              </w:tc>
            </w:tr>
            <w:tr w:rsidR="000B234D" w:rsidRPr="003B14E9" w14:paraId="68246DBF" w14:textId="77777777" w:rsidTr="00B11411">
              <w:trPr>
                <w:trHeight w:val="105"/>
              </w:trPr>
              <w:tc>
                <w:tcPr>
                  <w:tcW w:w="719" w:type="dxa"/>
                  <w:vMerge/>
                </w:tcPr>
                <w:p w14:paraId="678C4568" w14:textId="77777777" w:rsidR="000B234D" w:rsidRPr="003B14E9" w:rsidRDefault="000B234D" w:rsidP="000B234D">
                  <w:pPr>
                    <w:pStyle w:val="CM4"/>
                    <w:spacing w:before="60" w:after="60"/>
                    <w:rPr>
                      <w:rFonts w:ascii="Times New Roman" w:hAnsi="Times New Roman"/>
                      <w:color w:val="000000"/>
                      <w:sz w:val="18"/>
                      <w:szCs w:val="18"/>
                    </w:rPr>
                  </w:pPr>
                </w:p>
              </w:tc>
              <w:tc>
                <w:tcPr>
                  <w:tcW w:w="470" w:type="dxa"/>
                  <w:vMerge/>
                </w:tcPr>
                <w:p w14:paraId="0B4FA7A9" w14:textId="77777777" w:rsidR="000B234D" w:rsidRPr="003B14E9" w:rsidRDefault="000B234D" w:rsidP="000B234D">
                  <w:pPr>
                    <w:pStyle w:val="CM4"/>
                    <w:spacing w:before="60" w:after="60"/>
                    <w:rPr>
                      <w:rFonts w:ascii="Times New Roman" w:hAnsi="Times New Roman"/>
                      <w:color w:val="000000"/>
                      <w:sz w:val="18"/>
                      <w:szCs w:val="18"/>
                    </w:rPr>
                  </w:pPr>
                </w:p>
              </w:tc>
              <w:tc>
                <w:tcPr>
                  <w:tcW w:w="3085" w:type="dxa"/>
                </w:tcPr>
                <w:p w14:paraId="09DFC20F"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1 dacă prin tranzacţie s-a furnizat protecţia creditului</w:t>
                  </w:r>
                </w:p>
              </w:tc>
            </w:tr>
          </w:tbl>
          <w:p w14:paraId="58933059" w14:textId="77777777" w:rsidR="000B234D" w:rsidRPr="003B14E9" w:rsidRDefault="000B234D" w:rsidP="000B234D">
            <w:pPr>
              <w:pStyle w:val="CM4"/>
              <w:spacing w:before="60" w:after="60"/>
              <w:rPr>
                <w:rFonts w:ascii="Times New Roman" w:hAnsi="Times New Roman"/>
                <w:color w:val="000000"/>
                <w:sz w:val="18"/>
                <w:szCs w:val="18"/>
              </w:rPr>
            </w:pPr>
          </w:p>
          <w:p w14:paraId="21B298C1"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 = plafonul de afectare al tranșei; pentru o tranzacţie cu un instrument financiar derivat de credit de tip „n</w:t>
            </w:r>
            <w:r w:rsidRPr="003B14E9">
              <w:rPr>
                <w:rFonts w:ascii="Times New Roman" w:hAnsi="Times New Roman"/>
                <w:color w:val="000000"/>
                <w:sz w:val="18"/>
                <w:szCs w:val="18"/>
                <w:vertAlign w:val="superscript"/>
              </w:rPr>
              <w:t xml:space="preserve">th </w:t>
            </w:r>
            <w:r w:rsidRPr="003B14E9">
              <w:rPr>
                <w:rFonts w:ascii="Times New Roman" w:hAnsi="Times New Roman"/>
                <w:color w:val="000000"/>
                <w:sz w:val="18"/>
                <w:szCs w:val="18"/>
              </w:rPr>
              <w:t xml:space="preserve">-to-default” bazat pe entităţile de referinţă k, A = (n – 1)/k; și </w:t>
            </w:r>
          </w:p>
          <w:p w14:paraId="5B9AF675"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D = plafonul de neafectare al tranșei; pentru o tranzacţie cu un instrument financiar derivat de credit de tip „n</w:t>
            </w:r>
            <w:r w:rsidRPr="003B14E9">
              <w:rPr>
                <w:rFonts w:ascii="Times New Roman" w:hAnsi="Times New Roman"/>
                <w:color w:val="000000"/>
                <w:sz w:val="18"/>
                <w:szCs w:val="18"/>
                <w:vertAlign w:val="superscript"/>
              </w:rPr>
              <w:t>th</w:t>
            </w:r>
            <w:r w:rsidRPr="003B14E9">
              <w:rPr>
                <w:rFonts w:ascii="Times New Roman" w:hAnsi="Times New Roman"/>
                <w:color w:val="000000"/>
                <w:sz w:val="18"/>
                <w:szCs w:val="18"/>
              </w:rPr>
              <w:t xml:space="preserve"> -to-default” bazat pe entităţile de referinţă k, D = n/k; </w:t>
            </w:r>
          </w:p>
          <w:p w14:paraId="62EDD83E"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(c) pentru tranzacţiile care nu sunt menţionate la litera (a) sau (b), instituţiile utilizează următorul delta reglementat: </w:t>
            </w:r>
          </w:p>
          <w:p w14:paraId="598DB862" w14:textId="77777777" w:rsidR="000B234D" w:rsidRPr="003B14E9" w:rsidRDefault="000B234D" w:rsidP="000B234D">
            <w:pPr>
              <w:rPr>
                <w:sz w:val="18"/>
                <w:szCs w:val="18"/>
                <w:lang w:val="en-US"/>
              </w:rPr>
            </w:pPr>
          </w:p>
          <w:tbl>
            <w:tblPr>
              <w:tblStyle w:val="TableGrid"/>
              <w:tblW w:w="4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
              <w:gridCol w:w="266"/>
              <w:gridCol w:w="3813"/>
            </w:tblGrid>
            <w:tr w:rsidR="000B234D" w:rsidRPr="003B14E9" w14:paraId="6DE5C21C" w14:textId="77777777" w:rsidTr="00B11411">
              <w:trPr>
                <w:trHeight w:val="488"/>
              </w:trPr>
              <w:tc>
                <w:tcPr>
                  <w:tcW w:w="333" w:type="dxa"/>
                  <w:vMerge w:val="restart"/>
                </w:tcPr>
                <w:p w14:paraId="2CE77D17" w14:textId="77777777" w:rsidR="000B234D" w:rsidRPr="003B14E9" w:rsidRDefault="000B234D" w:rsidP="000B234D">
                  <w:pPr>
                    <w:pStyle w:val="CM4"/>
                    <w:rPr>
                      <w:rFonts w:ascii="Times New Roman" w:hAnsi="Times New Roman"/>
                      <w:color w:val="000000"/>
                      <w:sz w:val="18"/>
                      <w:szCs w:val="18"/>
                    </w:rPr>
                  </w:pPr>
                </w:p>
                <w:p w14:paraId="47B6AE00"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δ =</w:t>
                  </w:r>
                </w:p>
              </w:tc>
              <w:tc>
                <w:tcPr>
                  <w:tcW w:w="266" w:type="dxa"/>
                  <w:vMerge w:val="restart"/>
                </w:tcPr>
                <w:p w14:paraId="463E1D40"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w:t>
                  </w:r>
                </w:p>
              </w:tc>
              <w:tc>
                <w:tcPr>
                  <w:tcW w:w="3813" w:type="dxa"/>
                </w:tcPr>
                <w:p w14:paraId="57F505A0"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+ 1 dacă tranzacţia este o poziţie lungă pe determinantul de risc principal sau cel mai semnificativ determinant de risc în acea categorie de risc</w:t>
                  </w:r>
                </w:p>
              </w:tc>
            </w:tr>
            <w:tr w:rsidR="000B234D" w:rsidRPr="003B14E9" w14:paraId="013D09C9" w14:textId="77777777" w:rsidTr="00B11411">
              <w:trPr>
                <w:trHeight w:val="85"/>
              </w:trPr>
              <w:tc>
                <w:tcPr>
                  <w:tcW w:w="333" w:type="dxa"/>
                  <w:vMerge/>
                </w:tcPr>
                <w:p w14:paraId="22549719" w14:textId="77777777" w:rsidR="000B234D" w:rsidRPr="003B14E9" w:rsidRDefault="000B234D" w:rsidP="000B234D">
                  <w:pPr>
                    <w:pStyle w:val="CM4"/>
                    <w:rPr>
                      <w:rFonts w:ascii="Times New Roman" w:hAnsi="Times New Roman"/>
                      <w:color w:val="000000"/>
                      <w:sz w:val="18"/>
                      <w:szCs w:val="18"/>
                    </w:rPr>
                  </w:pPr>
                </w:p>
              </w:tc>
              <w:tc>
                <w:tcPr>
                  <w:tcW w:w="266" w:type="dxa"/>
                  <w:vMerge/>
                </w:tcPr>
                <w:p w14:paraId="2235555A" w14:textId="77777777" w:rsidR="000B234D" w:rsidRPr="003B14E9" w:rsidRDefault="000B234D" w:rsidP="000B234D">
                  <w:pPr>
                    <w:pStyle w:val="CM4"/>
                    <w:rPr>
                      <w:rFonts w:ascii="Times New Roman" w:hAnsi="Times New Roman"/>
                      <w:color w:val="000000"/>
                      <w:sz w:val="18"/>
                      <w:szCs w:val="18"/>
                    </w:rPr>
                  </w:pPr>
                </w:p>
              </w:tc>
              <w:tc>
                <w:tcPr>
                  <w:tcW w:w="3813" w:type="dxa"/>
                </w:tcPr>
                <w:p w14:paraId="73182B2B"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 1 dacă tranzacţia este o poziţie scurtă pe determinantul de risc principal sau cel mai semnificativ determinant de risc în acea categorie de risc</w:t>
                  </w:r>
                </w:p>
              </w:tc>
            </w:tr>
          </w:tbl>
          <w:p w14:paraId="1DAD0C8F"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(2) În sensul prezentei secţiuni, o poziţie lungă pe determinantul de risc principal sau pe cel mai semnificativ determinant de risc într-o anumită categorie de risc pentru tranzacţiile menţionate la articolul 277 alineatul (3) înseamnă că valoarea de piaţă a tranzacţiei crește atunci când valoarea determinantului de risc respectiv crește, iar o poziţie scurtă pe determinantul de risc principal sau pe cel mai semnificativ determinant de risc într-o anumită categorie de risc pentru tranzacţiile menţionate la articolul 277 alineatul (3) înseamnă că valoarea de piaţă a tranzacţiei scade atunci când valoarea determinantului de risc respectiv crește. </w:t>
            </w:r>
          </w:p>
          <w:p w14:paraId="12C787B2"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(3) ABE elaborează proiecte de standarde tehnice de reglementare pentru a preciza: </w:t>
            </w:r>
          </w:p>
          <w:p w14:paraId="0BAD6A0F"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 în conformitate cu evoluţiile internaţionale în materie de reglementare, formula pe care trebuie să o utilizeze instituţiile pentru a calcula delta reglementat pentru opţiunile call și put încadrate în categoria de risc de rată a dobânzii compatibilă cu condiţii de piaţă în care ratele dobânzii pot fi negative, precum și volatilitatea reglementată care este adecvată pentru formula respectivă; </w:t>
            </w:r>
          </w:p>
          <w:p w14:paraId="16CA67A1"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o metodă pentru a stabili dacă o tranzacţie este o poziţie lungă sau scurtă pe determinantul de risc principal sau pe cel mai semnificativ determinant de risc într-o anumită categorie de risc pentru tranzacţiile menţionate la articolul 277 alineatul (3). </w:t>
            </w:r>
          </w:p>
          <w:p w14:paraId="6DF640B9"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ABE prezintă Comisiei aceste proiecte de standarde tehnice de reglementare până la 28 decembrie 2019. </w:t>
            </w:r>
          </w:p>
          <w:p w14:paraId="16C08654" w14:textId="1B1DE85E" w:rsidR="000B234D" w:rsidRPr="003B14E9" w:rsidRDefault="000B234D" w:rsidP="000B234D">
            <w:pPr>
              <w:pStyle w:val="CM4"/>
              <w:spacing w:before="60" w:after="60"/>
              <w:rPr>
                <w:rFonts w:ascii="Times New Roman" w:hAnsi="Times New Roman"/>
                <w:i/>
                <w:iCs/>
                <w:color w:val="000000"/>
                <w:sz w:val="20"/>
                <w:szCs w:val="20"/>
              </w:rPr>
            </w:pPr>
            <w:r w:rsidRPr="003B14E9">
              <w:rPr>
                <w:rFonts w:ascii="Times New Roman" w:hAnsi="Times New Roman"/>
                <w:color w:val="000000"/>
                <w:sz w:val="18"/>
                <w:szCs w:val="18"/>
              </w:rPr>
              <w:t>Se deleagă Comisiei competenţa de a completa prezentul regulament prin adoptarea standardelor tehnice de reglementare menţionate la primul paragraf în conformitate cu articolele 10-14 din Regulamentul (UE) nr. 1093/2010.</w:t>
            </w:r>
          </w:p>
        </w:tc>
        <w:tc>
          <w:tcPr>
            <w:tcW w:w="4425" w:type="dxa"/>
            <w:shd w:val="clear" w:color="auto" w:fill="auto"/>
          </w:tcPr>
          <w:p w14:paraId="5612EDAE" w14:textId="77777777" w:rsidR="000B234D" w:rsidRPr="003B14E9" w:rsidRDefault="000B234D" w:rsidP="000B234D">
            <w:pPr>
              <w:autoSpaceDE w:val="0"/>
              <w:autoSpaceDN w:val="0"/>
              <w:adjustRightInd w:val="0"/>
              <w:spacing w:before="60" w:after="60"/>
              <w:ind w:firstLine="567"/>
              <w:jc w:val="center"/>
              <w:rPr>
                <w:rFonts w:eastAsiaTheme="minorHAnsi"/>
                <w:i/>
                <w:iCs/>
                <w:color w:val="000000"/>
                <w:sz w:val="18"/>
                <w:szCs w:val="18"/>
                <w:lang w:val="ro-MD" w:eastAsia="en-US"/>
                <w14:ligatures w14:val="standardContextual"/>
              </w:rPr>
            </w:pPr>
            <w:r w:rsidRPr="003B14E9">
              <w:rPr>
                <w:rFonts w:eastAsiaTheme="minorHAnsi"/>
                <w:i/>
                <w:iCs/>
                <w:color w:val="000000"/>
                <w:sz w:val="18"/>
                <w:szCs w:val="18"/>
                <w:lang w:val="ro-MD" w:eastAsia="en-US"/>
                <w14:ligatures w14:val="standardContextual"/>
              </w:rPr>
              <w:lastRenderedPageBreak/>
              <w:t xml:space="preserve">Secțiunea a 8-a </w:t>
            </w:r>
          </w:p>
          <w:p w14:paraId="2F3511D1" w14:textId="77777777" w:rsidR="000B234D" w:rsidRPr="003B14E9" w:rsidRDefault="000B234D" w:rsidP="000B234D">
            <w:pPr>
              <w:autoSpaceDE w:val="0"/>
              <w:autoSpaceDN w:val="0"/>
              <w:adjustRightInd w:val="0"/>
              <w:ind w:firstLine="567"/>
              <w:jc w:val="center"/>
              <w:rPr>
                <w:rFonts w:eastAsiaTheme="minorHAnsi"/>
                <w:b/>
                <w:bCs/>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Delta reglementat</w:t>
            </w:r>
          </w:p>
          <w:p w14:paraId="21F93E18"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55.</w:t>
            </w:r>
            <w:r w:rsidRPr="003B14E9">
              <w:rPr>
                <w:rFonts w:eastAsiaTheme="minorHAnsi"/>
                <w:color w:val="000000"/>
                <w:sz w:val="18"/>
                <w:szCs w:val="18"/>
                <w:lang w:val="ro-MD" w:eastAsia="en-US"/>
                <w14:ligatures w14:val="standardContextual"/>
              </w:rPr>
              <w:t xml:space="preserve"> Băncile calculează delta reglementat după cum urmează: </w:t>
            </w:r>
          </w:p>
          <w:p w14:paraId="71CFD6EA"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în cazul opţiunilor call și put care îi dau dreptul cumpărătorului să cumpere sau să vândă un instrument-suport la un preţ pozitiv la o dată unică sau la multiple date </w:t>
            </w:r>
            <w:r w:rsidRPr="003B14E9">
              <w:rPr>
                <w:rFonts w:eastAsiaTheme="minorHAnsi"/>
                <w:color w:val="000000"/>
                <w:sz w:val="18"/>
                <w:szCs w:val="18"/>
                <w:lang w:val="ro-MD" w:eastAsia="en-US"/>
                <w14:ligatures w14:val="standardContextual"/>
              </w:rPr>
              <w:lastRenderedPageBreak/>
              <w:t xml:space="preserve">din viitor, cu excepţia cazului în care aceste opţiuni sunt încadrate în categoria de risc de rată a dobânzii, băncile utilizează următoarea formulă: </w:t>
            </w:r>
          </w:p>
          <w:p w14:paraId="4D74B1B0" w14:textId="77777777" w:rsidR="000B234D" w:rsidRPr="003B14E9" w:rsidRDefault="000B234D" w:rsidP="000B234D">
            <w:pPr>
              <w:pStyle w:val="Default"/>
              <w:ind w:firstLine="567"/>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8A6A360" wp14:editId="2BD6937C">
                  <wp:extent cx="2001078" cy="304800"/>
                  <wp:effectExtent l="0" t="0" r="0" b="0"/>
                  <wp:docPr id="727160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4618" cy="311432"/>
                          </a:xfrm>
                          <a:prstGeom prst="rect">
                            <a:avLst/>
                          </a:prstGeom>
                          <a:noFill/>
                        </pic:spPr>
                      </pic:pic>
                    </a:graphicData>
                  </a:graphic>
                </wp:inline>
              </w:drawing>
            </w:r>
          </w:p>
          <w:p w14:paraId="10D18F52"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52740339"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δ = delta reglementat </w:t>
            </w:r>
          </w:p>
          <w:p w14:paraId="47AC71A8"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semn (sign) = – 1 dacă tranzacţia este o opţiune call vândută sau o opţiune put cumpărată; </w:t>
            </w:r>
          </w:p>
          <w:p w14:paraId="3D910C9A"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semn (sign) = + 1 dacă tranzacţia este o opţiune call cumpărată sau o opţiune put vândută; </w:t>
            </w:r>
          </w:p>
          <w:p w14:paraId="009D503B"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tip (type) = – 1 dacă tranzacţia este o opţiune put; </w:t>
            </w:r>
          </w:p>
          <w:p w14:paraId="2E1BAA92"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tip (type) = + 1 dacă tranzacţia este o opţiune call; </w:t>
            </w:r>
          </w:p>
          <w:p w14:paraId="766B7349"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N(x) = funcţia de distribuţie cumulativă pentru o variabilă aleatorie normală standard, care exprimă probabilitatea ca o variabilă aleatorie normal distribuită, cu media zero și varianţa 1, să fie mai mică sau egală cu x; </w:t>
            </w:r>
          </w:p>
          <w:p w14:paraId="1332B178"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P = preţul la vedere sau la termen al instrumentului- suport al opţiunii; pentru opţiuni ale căror fluxuri de numerar depind de o valoare medie a preţului instrumentului-suport, P este egal cu valoarea medie la data calculului; </w:t>
            </w:r>
          </w:p>
          <w:p w14:paraId="1ACF00B8"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K = preţul de exercitare a opţiunii; </w:t>
            </w:r>
          </w:p>
          <w:p w14:paraId="125B4832"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T = perioada cuprinsă între data expirării opţiunii (T exp ) și data raportării; pentru opţiuni care pot fi exercitate numai la o dată viitoare, T exp este egală cu data respectivă; pentru opţiuni care pot fi exercitate la multiple date viitoare, T exp este egală cu ultima dintre datele respective; T se exprimă în ani, utilizând convenţia privind zilele lucrătoare relevantă; și </w:t>
            </w:r>
          </w:p>
          <w:p w14:paraId="52ED663A"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σ = volatilitatea reglementată a opţiunii, determinată în conformitate cu tabelul 1 în funcţie de categoria de risc a tranzacţiei și de natura instrumentului-suport al opţiunii. </w:t>
            </w:r>
          </w:p>
          <w:p w14:paraId="7877A485" w14:textId="77777777" w:rsidR="000B234D" w:rsidRPr="003B14E9" w:rsidRDefault="000B234D" w:rsidP="000B234D">
            <w:pPr>
              <w:pStyle w:val="Default"/>
              <w:ind w:firstLine="567"/>
              <w:jc w:val="right"/>
              <w:rPr>
                <w:rFonts w:ascii="Times New Roman" w:hAnsi="Times New Roman" w:cs="Times New Roman"/>
                <w:i/>
                <w:iCs/>
                <w:sz w:val="18"/>
                <w:szCs w:val="18"/>
              </w:rPr>
            </w:pPr>
            <w:r w:rsidRPr="003B14E9">
              <w:rPr>
                <w:rFonts w:ascii="Times New Roman" w:hAnsi="Times New Roman" w:cs="Times New Roman"/>
                <w:i/>
                <w:iCs/>
                <w:sz w:val="18"/>
                <w:szCs w:val="18"/>
              </w:rPr>
              <w:t>Tabelul 1</w:t>
            </w:r>
          </w:p>
          <w:p w14:paraId="20EF8046" w14:textId="77777777" w:rsidR="000B234D" w:rsidRPr="003B14E9" w:rsidRDefault="000B234D" w:rsidP="000B234D">
            <w:pPr>
              <w:pStyle w:val="Default"/>
              <w:ind w:firstLine="567"/>
              <w:jc w:val="right"/>
              <w:rPr>
                <w:rFonts w:ascii="Times New Roman" w:hAnsi="Times New Roman" w:cs="Times New Roman"/>
                <w:i/>
                <w:iCs/>
                <w:sz w:val="18"/>
                <w:szCs w:val="18"/>
              </w:rPr>
            </w:pPr>
          </w:p>
          <w:tbl>
            <w:tblPr>
              <w:tblW w:w="544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339"/>
              <w:gridCol w:w="1865"/>
              <w:gridCol w:w="2237"/>
            </w:tblGrid>
            <w:tr w:rsidR="000B234D" w:rsidRPr="003B14E9" w14:paraId="28F4736A" w14:textId="77777777" w:rsidTr="00B11411">
              <w:trPr>
                <w:trHeight w:val="436"/>
              </w:trPr>
              <w:tc>
                <w:tcPr>
                  <w:tcW w:w="1339" w:type="dxa"/>
                  <w:tcBorders>
                    <w:top w:val="outset" w:sz="6" w:space="0" w:color="auto"/>
                    <w:left w:val="outset" w:sz="6" w:space="0" w:color="auto"/>
                    <w:bottom w:val="outset" w:sz="6" w:space="0" w:color="auto"/>
                    <w:right w:val="outset" w:sz="6" w:space="0" w:color="auto"/>
                  </w:tcBorders>
                  <w:shd w:val="clear" w:color="auto" w:fill="FFFFFF"/>
                  <w:hideMark/>
                </w:tcPr>
                <w:p w14:paraId="1F18BDF2" w14:textId="77777777" w:rsidR="000B234D" w:rsidRPr="003B14E9" w:rsidRDefault="000B234D" w:rsidP="000B234D">
                  <w:pPr>
                    <w:spacing w:before="60" w:after="60" w:line="312" w:lineRule="atLeast"/>
                    <w:ind w:firstLine="3"/>
                    <w:jc w:val="center"/>
                    <w:rPr>
                      <w:color w:val="333333"/>
                      <w:sz w:val="18"/>
                      <w:szCs w:val="18"/>
                      <w:lang w:val="en-US" w:eastAsia="ro-MD"/>
                    </w:rPr>
                  </w:pPr>
                  <w:r w:rsidRPr="003B14E9">
                    <w:rPr>
                      <w:color w:val="333333"/>
                      <w:sz w:val="18"/>
                      <w:szCs w:val="18"/>
                      <w:lang w:val="en-US" w:eastAsia="ro-MD"/>
                    </w:rPr>
                    <w:lastRenderedPageBreak/>
                    <w:t>Categorie de risc</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133BAF74" w14:textId="77777777" w:rsidR="000B234D" w:rsidRPr="003B14E9" w:rsidRDefault="000B234D" w:rsidP="000B234D">
                  <w:pPr>
                    <w:spacing w:before="60" w:after="60" w:line="312" w:lineRule="atLeast"/>
                    <w:ind w:firstLine="567"/>
                    <w:jc w:val="center"/>
                    <w:rPr>
                      <w:color w:val="333333"/>
                      <w:sz w:val="18"/>
                      <w:szCs w:val="18"/>
                      <w:lang w:val="en-US" w:eastAsia="ro-MD"/>
                    </w:rPr>
                  </w:pPr>
                  <w:r w:rsidRPr="003B14E9">
                    <w:rPr>
                      <w:color w:val="333333"/>
                      <w:sz w:val="18"/>
                      <w:szCs w:val="18"/>
                      <w:lang w:val="en-US" w:eastAsia="ro-MD"/>
                    </w:rPr>
                    <w:t>Instrumentul-suport</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73C6B401" w14:textId="77777777" w:rsidR="000B234D" w:rsidRPr="003B14E9" w:rsidRDefault="000B234D" w:rsidP="000B234D">
                  <w:pPr>
                    <w:spacing w:before="60" w:after="60" w:line="312" w:lineRule="atLeast"/>
                    <w:ind w:firstLine="567"/>
                    <w:jc w:val="center"/>
                    <w:rPr>
                      <w:color w:val="333333"/>
                      <w:sz w:val="18"/>
                      <w:szCs w:val="18"/>
                      <w:lang w:val="en-US" w:eastAsia="ro-MD"/>
                    </w:rPr>
                  </w:pPr>
                  <w:r w:rsidRPr="003B14E9">
                    <w:rPr>
                      <w:color w:val="333333"/>
                      <w:sz w:val="18"/>
                      <w:szCs w:val="18"/>
                      <w:lang w:val="en-US" w:eastAsia="ro-MD"/>
                    </w:rPr>
                    <w:t>Volatilitatea reglementată</w:t>
                  </w:r>
                </w:p>
              </w:tc>
            </w:tr>
            <w:tr w:rsidR="000B234D" w:rsidRPr="003B14E9" w14:paraId="2CCE7177" w14:textId="77777777" w:rsidTr="00B11411">
              <w:trPr>
                <w:trHeight w:val="449"/>
              </w:trPr>
              <w:tc>
                <w:tcPr>
                  <w:tcW w:w="1339" w:type="dxa"/>
                  <w:tcBorders>
                    <w:top w:val="outset" w:sz="6" w:space="0" w:color="auto"/>
                    <w:left w:val="outset" w:sz="6" w:space="0" w:color="auto"/>
                    <w:bottom w:val="outset" w:sz="6" w:space="0" w:color="auto"/>
                    <w:right w:val="outset" w:sz="6" w:space="0" w:color="auto"/>
                  </w:tcBorders>
                  <w:shd w:val="clear" w:color="auto" w:fill="FFFFFF"/>
                  <w:hideMark/>
                </w:tcPr>
                <w:p w14:paraId="44FC7676" w14:textId="77777777" w:rsidR="000B234D" w:rsidRPr="003B14E9" w:rsidRDefault="000B234D" w:rsidP="000B234D">
                  <w:pPr>
                    <w:spacing w:before="60" w:after="60" w:line="312" w:lineRule="atLeast"/>
                    <w:jc w:val="both"/>
                    <w:rPr>
                      <w:color w:val="333333"/>
                      <w:sz w:val="18"/>
                      <w:szCs w:val="18"/>
                      <w:lang w:val="en-US" w:eastAsia="ro-MD"/>
                    </w:rPr>
                  </w:pPr>
                  <w:r w:rsidRPr="003B14E9">
                    <w:rPr>
                      <w:color w:val="333333"/>
                      <w:sz w:val="18"/>
                      <w:szCs w:val="18"/>
                      <w:lang w:val="en-US" w:eastAsia="ro-MD"/>
                    </w:rPr>
                    <w:t>Schimb valutar</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24595540" w14:textId="77777777" w:rsidR="000B234D" w:rsidRPr="003B14E9" w:rsidRDefault="000B234D" w:rsidP="000B234D">
                  <w:pPr>
                    <w:spacing w:before="60" w:after="60" w:line="312" w:lineRule="atLeast"/>
                    <w:jc w:val="both"/>
                    <w:rPr>
                      <w:color w:val="333333"/>
                      <w:sz w:val="18"/>
                      <w:szCs w:val="18"/>
                      <w:lang w:val="en-US" w:eastAsia="ro-MD"/>
                    </w:rPr>
                  </w:pPr>
                  <w:r w:rsidRPr="003B14E9">
                    <w:rPr>
                      <w:color w:val="333333"/>
                      <w:sz w:val="18"/>
                      <w:szCs w:val="18"/>
                      <w:lang w:val="en-US" w:eastAsia="ro-MD"/>
                    </w:rPr>
                    <w:t>Toate</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12283D90" w14:textId="77777777" w:rsidR="000B234D" w:rsidRPr="003B14E9" w:rsidRDefault="000B234D" w:rsidP="000B234D">
                  <w:pPr>
                    <w:spacing w:before="60" w:after="60" w:line="312" w:lineRule="atLeast"/>
                    <w:ind w:firstLine="567"/>
                    <w:jc w:val="both"/>
                    <w:rPr>
                      <w:color w:val="333333"/>
                      <w:sz w:val="18"/>
                      <w:szCs w:val="18"/>
                      <w:lang w:val="en-US" w:eastAsia="ro-MD"/>
                    </w:rPr>
                  </w:pPr>
                  <w:r w:rsidRPr="003B14E9">
                    <w:rPr>
                      <w:color w:val="333333"/>
                      <w:sz w:val="18"/>
                      <w:szCs w:val="18"/>
                      <w:lang w:val="en-US" w:eastAsia="ro-MD"/>
                    </w:rPr>
                    <w:t>15 %</w:t>
                  </w:r>
                </w:p>
              </w:tc>
            </w:tr>
            <w:tr w:rsidR="000B234D" w:rsidRPr="003B14E9" w14:paraId="6E273BEE" w14:textId="77777777" w:rsidTr="00B11411">
              <w:trPr>
                <w:trHeight w:val="463"/>
              </w:trPr>
              <w:tc>
                <w:tcPr>
                  <w:tcW w:w="13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6E3A5E5" w14:textId="77777777" w:rsidR="000B234D" w:rsidRPr="003B14E9" w:rsidRDefault="000B234D" w:rsidP="000B234D">
                  <w:pPr>
                    <w:spacing w:before="60" w:after="60" w:line="312" w:lineRule="atLeast"/>
                    <w:jc w:val="both"/>
                    <w:rPr>
                      <w:color w:val="333333"/>
                      <w:sz w:val="18"/>
                      <w:szCs w:val="18"/>
                      <w:lang w:val="en-US" w:eastAsia="ro-MD"/>
                    </w:rPr>
                  </w:pPr>
                  <w:r w:rsidRPr="003B14E9">
                    <w:rPr>
                      <w:color w:val="333333"/>
                      <w:sz w:val="18"/>
                      <w:szCs w:val="18"/>
                      <w:lang w:val="en-US" w:eastAsia="ro-MD"/>
                    </w:rPr>
                    <w:t>Credit</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665FF67D" w14:textId="77777777" w:rsidR="000B234D" w:rsidRPr="003B14E9" w:rsidRDefault="000B234D" w:rsidP="000B234D">
                  <w:pPr>
                    <w:spacing w:before="60" w:after="60" w:line="312" w:lineRule="atLeast"/>
                    <w:rPr>
                      <w:color w:val="333333"/>
                      <w:sz w:val="18"/>
                      <w:szCs w:val="18"/>
                      <w:lang w:val="en-US" w:eastAsia="ro-MD"/>
                    </w:rPr>
                  </w:pPr>
                  <w:r w:rsidRPr="003B14E9">
                    <w:rPr>
                      <w:color w:val="333333"/>
                      <w:sz w:val="18"/>
                      <w:szCs w:val="18"/>
                      <w:lang w:val="en-US" w:eastAsia="ro-MD"/>
                    </w:rPr>
                    <w:t>Instrument având la bază o singură semnătură</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0A801160" w14:textId="77777777" w:rsidR="000B234D" w:rsidRPr="003B14E9" w:rsidRDefault="000B234D" w:rsidP="000B234D">
                  <w:pPr>
                    <w:spacing w:before="60" w:after="60" w:line="312" w:lineRule="atLeast"/>
                    <w:ind w:firstLine="567"/>
                    <w:jc w:val="both"/>
                    <w:rPr>
                      <w:color w:val="333333"/>
                      <w:sz w:val="18"/>
                      <w:szCs w:val="18"/>
                      <w:lang w:eastAsia="ro-MD"/>
                    </w:rPr>
                  </w:pPr>
                  <w:r w:rsidRPr="003B14E9">
                    <w:rPr>
                      <w:color w:val="333333"/>
                      <w:sz w:val="18"/>
                      <w:szCs w:val="18"/>
                      <w:lang w:eastAsia="ro-MD"/>
                    </w:rPr>
                    <w:t>100 %</w:t>
                  </w:r>
                </w:p>
              </w:tc>
            </w:tr>
            <w:tr w:rsidR="000B234D" w:rsidRPr="003B14E9" w14:paraId="40D18168" w14:textId="77777777" w:rsidTr="00B11411">
              <w:trPr>
                <w:trHeight w:val="144"/>
              </w:trPr>
              <w:tc>
                <w:tcPr>
                  <w:tcW w:w="13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3122B" w14:textId="77777777" w:rsidR="000B234D" w:rsidRPr="003B14E9" w:rsidRDefault="000B234D" w:rsidP="000B234D">
                  <w:pPr>
                    <w:ind w:firstLine="567"/>
                    <w:jc w:val="center"/>
                    <w:rPr>
                      <w:color w:val="333333"/>
                      <w:sz w:val="18"/>
                      <w:szCs w:val="18"/>
                      <w:lang w:eastAsia="ro-MD"/>
                    </w:rPr>
                  </w:pP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2C4CED70" w14:textId="77777777" w:rsidR="000B234D" w:rsidRPr="003B14E9" w:rsidRDefault="000B234D" w:rsidP="000B234D">
                  <w:pPr>
                    <w:spacing w:before="60" w:after="60" w:line="312" w:lineRule="atLeast"/>
                    <w:rPr>
                      <w:color w:val="333333"/>
                      <w:sz w:val="18"/>
                      <w:szCs w:val="18"/>
                      <w:lang w:val="en-US" w:eastAsia="ro-MD"/>
                    </w:rPr>
                  </w:pPr>
                  <w:r w:rsidRPr="003B14E9">
                    <w:rPr>
                      <w:color w:val="333333"/>
                      <w:sz w:val="18"/>
                      <w:szCs w:val="18"/>
                      <w:lang w:val="en-US" w:eastAsia="ro-MD"/>
                    </w:rPr>
                    <w:t>Instrument având la bază mai multe semnături</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1E3DB83B" w14:textId="77777777" w:rsidR="000B234D" w:rsidRPr="003B14E9" w:rsidRDefault="000B234D" w:rsidP="000B234D">
                  <w:pPr>
                    <w:spacing w:before="60" w:after="60" w:line="312" w:lineRule="atLeast"/>
                    <w:ind w:firstLine="567"/>
                    <w:jc w:val="both"/>
                    <w:rPr>
                      <w:color w:val="333333"/>
                      <w:sz w:val="18"/>
                      <w:szCs w:val="18"/>
                      <w:lang w:eastAsia="ro-MD"/>
                    </w:rPr>
                  </w:pPr>
                  <w:r w:rsidRPr="003B14E9">
                    <w:rPr>
                      <w:color w:val="333333"/>
                      <w:sz w:val="18"/>
                      <w:szCs w:val="18"/>
                      <w:lang w:eastAsia="ro-MD"/>
                    </w:rPr>
                    <w:t>80 %</w:t>
                  </w:r>
                </w:p>
              </w:tc>
            </w:tr>
            <w:tr w:rsidR="000B234D" w:rsidRPr="003B14E9" w14:paraId="7D68352C" w14:textId="77777777" w:rsidTr="00B11411">
              <w:trPr>
                <w:trHeight w:val="477"/>
              </w:trPr>
              <w:tc>
                <w:tcPr>
                  <w:tcW w:w="13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05E41AE" w14:textId="77777777" w:rsidR="000B234D" w:rsidRPr="003B14E9" w:rsidRDefault="000B234D" w:rsidP="000B234D">
                  <w:pPr>
                    <w:spacing w:before="60" w:after="60" w:line="312" w:lineRule="atLeast"/>
                    <w:rPr>
                      <w:color w:val="333333"/>
                      <w:sz w:val="18"/>
                      <w:szCs w:val="18"/>
                      <w:lang w:eastAsia="ro-MD"/>
                    </w:rPr>
                  </w:pPr>
                  <w:r w:rsidRPr="003B14E9">
                    <w:rPr>
                      <w:color w:val="333333"/>
                      <w:sz w:val="18"/>
                      <w:szCs w:val="18"/>
                      <w:lang w:eastAsia="ro-MD"/>
                    </w:rPr>
                    <w:t>Titluri de capital</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7B0A9450" w14:textId="77777777" w:rsidR="000B234D" w:rsidRPr="003B14E9" w:rsidRDefault="000B234D" w:rsidP="000B234D">
                  <w:pPr>
                    <w:spacing w:before="60" w:after="60" w:line="312" w:lineRule="atLeast"/>
                    <w:jc w:val="both"/>
                    <w:rPr>
                      <w:color w:val="333333"/>
                      <w:sz w:val="18"/>
                      <w:szCs w:val="18"/>
                      <w:lang w:val="en-US" w:eastAsia="ro-MD"/>
                    </w:rPr>
                  </w:pPr>
                  <w:r w:rsidRPr="003B14E9">
                    <w:rPr>
                      <w:color w:val="333333"/>
                      <w:sz w:val="18"/>
                      <w:szCs w:val="18"/>
                      <w:lang w:val="en-US" w:eastAsia="ro-MD"/>
                    </w:rPr>
                    <w:t>Instrument având la bază o singură semnătură</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5FE8B4AD" w14:textId="77777777" w:rsidR="000B234D" w:rsidRPr="003B14E9" w:rsidRDefault="000B234D" w:rsidP="000B234D">
                  <w:pPr>
                    <w:spacing w:before="60" w:after="60" w:line="312" w:lineRule="atLeast"/>
                    <w:ind w:firstLine="567"/>
                    <w:jc w:val="both"/>
                    <w:rPr>
                      <w:color w:val="333333"/>
                      <w:sz w:val="18"/>
                      <w:szCs w:val="18"/>
                      <w:lang w:eastAsia="ro-MD"/>
                    </w:rPr>
                  </w:pPr>
                  <w:r w:rsidRPr="003B14E9">
                    <w:rPr>
                      <w:color w:val="333333"/>
                      <w:sz w:val="18"/>
                      <w:szCs w:val="18"/>
                      <w:lang w:eastAsia="ro-MD"/>
                    </w:rPr>
                    <w:t>120 %</w:t>
                  </w:r>
                </w:p>
              </w:tc>
            </w:tr>
            <w:tr w:rsidR="000B234D" w:rsidRPr="003B14E9" w14:paraId="160E93D4" w14:textId="77777777" w:rsidTr="00B11411">
              <w:trPr>
                <w:trHeight w:val="144"/>
              </w:trPr>
              <w:tc>
                <w:tcPr>
                  <w:tcW w:w="13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CCE182" w14:textId="77777777" w:rsidR="000B234D" w:rsidRPr="003B14E9" w:rsidRDefault="000B234D" w:rsidP="000B234D">
                  <w:pPr>
                    <w:rPr>
                      <w:color w:val="333333"/>
                      <w:sz w:val="18"/>
                      <w:szCs w:val="18"/>
                      <w:lang w:eastAsia="ro-MD"/>
                    </w:rPr>
                  </w:pP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4BF3E9E7" w14:textId="77777777" w:rsidR="000B234D" w:rsidRPr="003B14E9" w:rsidRDefault="000B234D" w:rsidP="000B234D">
                  <w:pPr>
                    <w:spacing w:before="60" w:after="60" w:line="312" w:lineRule="atLeast"/>
                    <w:jc w:val="both"/>
                    <w:rPr>
                      <w:color w:val="333333"/>
                      <w:sz w:val="18"/>
                      <w:szCs w:val="18"/>
                      <w:lang w:val="en-US" w:eastAsia="ro-MD"/>
                    </w:rPr>
                  </w:pPr>
                  <w:r w:rsidRPr="003B14E9">
                    <w:rPr>
                      <w:color w:val="333333"/>
                      <w:sz w:val="18"/>
                      <w:szCs w:val="18"/>
                      <w:lang w:val="en-US" w:eastAsia="ro-MD"/>
                    </w:rPr>
                    <w:t>Instrument având la bază mai multe semnături</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67612D2A" w14:textId="77777777" w:rsidR="000B234D" w:rsidRPr="003B14E9" w:rsidRDefault="000B234D" w:rsidP="000B234D">
                  <w:pPr>
                    <w:spacing w:before="60" w:after="60" w:line="312" w:lineRule="atLeast"/>
                    <w:ind w:firstLine="567"/>
                    <w:jc w:val="both"/>
                    <w:rPr>
                      <w:color w:val="333333"/>
                      <w:sz w:val="18"/>
                      <w:szCs w:val="18"/>
                      <w:lang w:eastAsia="ro-MD"/>
                    </w:rPr>
                  </w:pPr>
                  <w:r w:rsidRPr="003B14E9">
                    <w:rPr>
                      <w:color w:val="333333"/>
                      <w:sz w:val="18"/>
                      <w:szCs w:val="18"/>
                      <w:lang w:eastAsia="ro-MD"/>
                    </w:rPr>
                    <w:t>75 %</w:t>
                  </w:r>
                </w:p>
              </w:tc>
            </w:tr>
            <w:tr w:rsidR="000B234D" w:rsidRPr="003B14E9" w14:paraId="20B9491E" w14:textId="77777777" w:rsidTr="00B11411">
              <w:trPr>
                <w:trHeight w:val="463"/>
              </w:trPr>
              <w:tc>
                <w:tcPr>
                  <w:tcW w:w="13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849F140" w14:textId="77777777" w:rsidR="000B234D" w:rsidRPr="003B14E9" w:rsidRDefault="000B234D" w:rsidP="000B234D">
                  <w:pPr>
                    <w:spacing w:before="60" w:after="60" w:line="312" w:lineRule="atLeast"/>
                    <w:rPr>
                      <w:color w:val="333333"/>
                      <w:sz w:val="18"/>
                      <w:szCs w:val="18"/>
                      <w:lang w:eastAsia="ro-MD"/>
                    </w:rPr>
                  </w:pPr>
                  <w:r w:rsidRPr="003B14E9">
                    <w:rPr>
                      <w:color w:val="333333"/>
                      <w:sz w:val="18"/>
                      <w:szCs w:val="18"/>
                      <w:lang w:eastAsia="ro-MD"/>
                    </w:rPr>
                    <w:t>Marfă</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57B8F7CB" w14:textId="77777777" w:rsidR="000B234D" w:rsidRPr="003B14E9" w:rsidRDefault="000B234D" w:rsidP="000B234D">
                  <w:pPr>
                    <w:spacing w:before="60" w:after="60" w:line="312" w:lineRule="atLeast"/>
                    <w:jc w:val="both"/>
                    <w:rPr>
                      <w:color w:val="333333"/>
                      <w:sz w:val="18"/>
                      <w:szCs w:val="18"/>
                      <w:lang w:eastAsia="ro-MD"/>
                    </w:rPr>
                  </w:pPr>
                  <w:r w:rsidRPr="003B14E9">
                    <w:rPr>
                      <w:color w:val="333333"/>
                      <w:sz w:val="18"/>
                      <w:szCs w:val="18"/>
                      <w:lang w:eastAsia="ro-MD"/>
                    </w:rPr>
                    <w:t>Energie electrică</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6E0714E3" w14:textId="77777777" w:rsidR="000B234D" w:rsidRPr="003B14E9" w:rsidRDefault="000B234D" w:rsidP="000B234D">
                  <w:pPr>
                    <w:spacing w:before="60" w:after="60" w:line="312" w:lineRule="atLeast"/>
                    <w:ind w:firstLine="567"/>
                    <w:jc w:val="both"/>
                    <w:rPr>
                      <w:color w:val="333333"/>
                      <w:sz w:val="18"/>
                      <w:szCs w:val="18"/>
                      <w:lang w:eastAsia="ro-MD"/>
                    </w:rPr>
                  </w:pPr>
                  <w:r w:rsidRPr="003B14E9">
                    <w:rPr>
                      <w:color w:val="333333"/>
                      <w:sz w:val="18"/>
                      <w:szCs w:val="18"/>
                      <w:lang w:eastAsia="ro-MD"/>
                    </w:rPr>
                    <w:t>150 %</w:t>
                  </w:r>
                </w:p>
              </w:tc>
            </w:tr>
            <w:tr w:rsidR="000B234D" w:rsidRPr="003B14E9" w14:paraId="01C6CBCD" w14:textId="77777777" w:rsidTr="00B11411">
              <w:trPr>
                <w:trHeight w:val="144"/>
              </w:trPr>
              <w:tc>
                <w:tcPr>
                  <w:tcW w:w="13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36D917" w14:textId="77777777" w:rsidR="000B234D" w:rsidRPr="003B14E9" w:rsidRDefault="000B234D" w:rsidP="000B234D">
                  <w:pPr>
                    <w:rPr>
                      <w:color w:val="333333"/>
                      <w:sz w:val="18"/>
                      <w:szCs w:val="18"/>
                      <w:lang w:eastAsia="ro-MD"/>
                    </w:rPr>
                  </w:pP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76333559" w14:textId="77777777" w:rsidR="000B234D" w:rsidRPr="003B14E9" w:rsidRDefault="000B234D" w:rsidP="000B234D">
                  <w:pPr>
                    <w:spacing w:before="60" w:after="60" w:line="312" w:lineRule="atLeast"/>
                    <w:jc w:val="both"/>
                    <w:rPr>
                      <w:color w:val="333333"/>
                      <w:sz w:val="18"/>
                      <w:szCs w:val="18"/>
                      <w:lang w:val="en-US" w:eastAsia="ro-MD"/>
                    </w:rPr>
                  </w:pPr>
                  <w:r w:rsidRPr="003B14E9">
                    <w:rPr>
                      <w:color w:val="333333"/>
                      <w:sz w:val="18"/>
                      <w:szCs w:val="18"/>
                      <w:lang w:val="en-US" w:eastAsia="ro-MD"/>
                    </w:rPr>
                    <w:t>Alte mărfuri (mai puțin energia electrică)</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25928A0D" w14:textId="77777777" w:rsidR="000B234D" w:rsidRPr="003B14E9" w:rsidRDefault="000B234D" w:rsidP="000B234D">
                  <w:pPr>
                    <w:spacing w:before="60" w:after="60" w:line="312" w:lineRule="atLeast"/>
                    <w:ind w:firstLine="567"/>
                    <w:jc w:val="both"/>
                    <w:rPr>
                      <w:color w:val="333333"/>
                      <w:sz w:val="18"/>
                      <w:szCs w:val="18"/>
                      <w:lang w:val="en-US" w:eastAsia="ro-MD"/>
                    </w:rPr>
                  </w:pPr>
                  <w:r w:rsidRPr="003B14E9">
                    <w:rPr>
                      <w:color w:val="333333"/>
                      <w:sz w:val="18"/>
                      <w:szCs w:val="18"/>
                      <w:lang w:val="en-US" w:eastAsia="ro-MD"/>
                    </w:rPr>
                    <w:t>70 %</w:t>
                  </w:r>
                </w:p>
              </w:tc>
            </w:tr>
            <w:tr w:rsidR="000B234D" w:rsidRPr="003B14E9" w14:paraId="37A51F58" w14:textId="77777777" w:rsidTr="00B11411">
              <w:trPr>
                <w:trHeight w:val="436"/>
              </w:trPr>
              <w:tc>
                <w:tcPr>
                  <w:tcW w:w="1339" w:type="dxa"/>
                  <w:tcBorders>
                    <w:top w:val="outset" w:sz="6" w:space="0" w:color="auto"/>
                    <w:left w:val="outset" w:sz="6" w:space="0" w:color="auto"/>
                    <w:bottom w:val="outset" w:sz="6" w:space="0" w:color="auto"/>
                    <w:right w:val="outset" w:sz="6" w:space="0" w:color="auto"/>
                  </w:tcBorders>
                  <w:shd w:val="clear" w:color="auto" w:fill="FFFFFF"/>
                  <w:hideMark/>
                </w:tcPr>
                <w:p w14:paraId="428517FE" w14:textId="77777777" w:rsidR="000B234D" w:rsidRPr="003B14E9" w:rsidRDefault="000B234D" w:rsidP="000B234D">
                  <w:pPr>
                    <w:spacing w:before="60" w:after="60" w:line="312" w:lineRule="atLeast"/>
                    <w:rPr>
                      <w:color w:val="333333"/>
                      <w:sz w:val="18"/>
                      <w:szCs w:val="18"/>
                      <w:lang w:val="en-US" w:eastAsia="ro-MD"/>
                    </w:rPr>
                  </w:pPr>
                  <w:r w:rsidRPr="003B14E9">
                    <w:rPr>
                      <w:color w:val="333333"/>
                      <w:sz w:val="18"/>
                      <w:szCs w:val="18"/>
                      <w:lang w:val="en-US" w:eastAsia="ro-MD"/>
                    </w:rPr>
                    <w:t>Altele</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14:paraId="06F63EAD" w14:textId="77777777" w:rsidR="000B234D" w:rsidRPr="003B14E9" w:rsidRDefault="000B234D" w:rsidP="000B234D">
                  <w:pPr>
                    <w:spacing w:before="60" w:after="60" w:line="312" w:lineRule="atLeast"/>
                    <w:jc w:val="both"/>
                    <w:rPr>
                      <w:color w:val="333333"/>
                      <w:sz w:val="18"/>
                      <w:szCs w:val="18"/>
                      <w:lang w:val="en-US" w:eastAsia="ro-MD"/>
                    </w:rPr>
                  </w:pPr>
                  <w:r w:rsidRPr="003B14E9">
                    <w:rPr>
                      <w:color w:val="333333"/>
                      <w:sz w:val="18"/>
                      <w:szCs w:val="18"/>
                      <w:lang w:val="en-US" w:eastAsia="ro-MD"/>
                    </w:rPr>
                    <w:t>Toate</w:t>
                  </w:r>
                </w:p>
              </w:tc>
              <w:tc>
                <w:tcPr>
                  <w:tcW w:w="2237" w:type="dxa"/>
                  <w:tcBorders>
                    <w:top w:val="outset" w:sz="6" w:space="0" w:color="auto"/>
                    <w:left w:val="outset" w:sz="6" w:space="0" w:color="auto"/>
                    <w:bottom w:val="outset" w:sz="6" w:space="0" w:color="auto"/>
                    <w:right w:val="outset" w:sz="6" w:space="0" w:color="auto"/>
                  </w:tcBorders>
                  <w:shd w:val="clear" w:color="auto" w:fill="FFFFFF"/>
                  <w:hideMark/>
                </w:tcPr>
                <w:p w14:paraId="2FCF1D55" w14:textId="77777777" w:rsidR="000B234D" w:rsidRPr="003B14E9" w:rsidRDefault="000B234D" w:rsidP="000B234D">
                  <w:pPr>
                    <w:spacing w:before="60" w:after="60" w:line="312" w:lineRule="atLeast"/>
                    <w:ind w:firstLine="567"/>
                    <w:jc w:val="both"/>
                    <w:rPr>
                      <w:color w:val="333333"/>
                      <w:sz w:val="18"/>
                      <w:szCs w:val="18"/>
                      <w:lang w:val="en-US" w:eastAsia="ro-MD"/>
                    </w:rPr>
                  </w:pPr>
                  <w:r w:rsidRPr="003B14E9">
                    <w:rPr>
                      <w:color w:val="333333"/>
                      <w:sz w:val="18"/>
                      <w:szCs w:val="18"/>
                      <w:lang w:val="en-US" w:eastAsia="ro-MD"/>
                    </w:rPr>
                    <w:t>150 %</w:t>
                  </w:r>
                </w:p>
              </w:tc>
            </w:tr>
          </w:tbl>
          <w:p w14:paraId="54B04829" w14:textId="77777777" w:rsidR="000B234D" w:rsidRPr="003B14E9" w:rsidRDefault="000B234D" w:rsidP="000B234D">
            <w:pPr>
              <w:pStyle w:val="Default"/>
              <w:ind w:firstLine="567"/>
              <w:rPr>
                <w:rFonts w:ascii="Times New Roman" w:hAnsi="Times New Roman" w:cs="Times New Roman"/>
                <w:sz w:val="18"/>
                <w:szCs w:val="18"/>
              </w:rPr>
            </w:pPr>
          </w:p>
          <w:p w14:paraId="09CD3AE5" w14:textId="77777777" w:rsidR="000B234D" w:rsidRPr="003B14E9" w:rsidRDefault="000B234D" w:rsidP="000B234D">
            <w:pPr>
              <w:autoSpaceDE w:val="0"/>
              <w:autoSpaceDN w:val="0"/>
              <w:adjustRightInd w:val="0"/>
              <w:jc w:val="both"/>
              <w:rPr>
                <w:rFonts w:eastAsiaTheme="minorHAnsi"/>
                <w:color w:val="000000"/>
                <w:sz w:val="18"/>
                <w:szCs w:val="18"/>
                <w:lang w:val="en-US" w:eastAsia="en-US"/>
                <w14:ligatures w14:val="standardContextual"/>
              </w:rPr>
            </w:pPr>
            <w:r w:rsidRPr="003B14E9">
              <w:rPr>
                <w:rFonts w:eastAsiaTheme="minorHAnsi"/>
                <w:color w:val="000000"/>
                <w:sz w:val="18"/>
                <w:szCs w:val="18"/>
                <w:lang w:val="ro-MD" w:eastAsia="en-US"/>
                <w14:ligatures w14:val="standardContextual"/>
              </w:rPr>
              <w:t xml:space="preserve">Băncile care utilizează preţul la termen al instrumentului-suport al unei opţiuni se asigură că: </w:t>
            </w:r>
          </w:p>
          <w:p w14:paraId="2159092F"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 xml:space="preserve">a) preţul la termen este în concordanţă cu caracteristicile opţiunii; </w:t>
            </w:r>
          </w:p>
          <w:p w14:paraId="6FC20712"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b) preţul la termen se calculează utilizând o rată a dobânzii relevantă care predomină la data raportării; </w:t>
            </w:r>
          </w:p>
          <w:p w14:paraId="019623D2"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c) preţul la termen integrează fluxurile de numerar preconizate ale instrumentului-suport înainte de expirarea opţiunii; </w:t>
            </w:r>
          </w:p>
          <w:p w14:paraId="77E8E084"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pentru tranzacţiile care nu sunt menţionate la subpunctul 1), băncile utilizează următorul delta reglementat: </w:t>
            </w:r>
          </w:p>
          <w:p w14:paraId="3BFA0EC2" w14:textId="77777777" w:rsidR="000B234D" w:rsidRPr="003B14E9" w:rsidRDefault="000B234D" w:rsidP="000B234D">
            <w:pPr>
              <w:pStyle w:val="Default"/>
              <w:rPr>
                <w:rFonts w:ascii="Times New Roman" w:hAnsi="Times New Roman" w:cs="Times New Roman"/>
                <w:sz w:val="18"/>
                <w:szCs w:val="18"/>
              </w:rPr>
            </w:pPr>
          </w:p>
          <w:tbl>
            <w:tblPr>
              <w:tblStyle w:val="TableGrid"/>
              <w:tblW w:w="5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351"/>
              <w:gridCol w:w="4657"/>
            </w:tblGrid>
            <w:tr w:rsidR="000B234D" w:rsidRPr="003B14E9" w14:paraId="2D69EFE0" w14:textId="77777777" w:rsidTr="00B11411">
              <w:trPr>
                <w:trHeight w:val="501"/>
              </w:trPr>
              <w:tc>
                <w:tcPr>
                  <w:tcW w:w="408" w:type="dxa"/>
                  <w:vMerge w:val="restart"/>
                </w:tcPr>
                <w:p w14:paraId="0314EF96" w14:textId="77777777" w:rsidR="000B234D" w:rsidRPr="003B14E9" w:rsidRDefault="000B234D" w:rsidP="000B234D">
                  <w:pPr>
                    <w:pStyle w:val="CM4"/>
                    <w:rPr>
                      <w:rFonts w:ascii="Times New Roman" w:hAnsi="Times New Roman"/>
                      <w:color w:val="000000"/>
                      <w:sz w:val="18"/>
                      <w:szCs w:val="18"/>
                    </w:rPr>
                  </w:pPr>
                </w:p>
                <w:p w14:paraId="55380F6E"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δ =</w:t>
                  </w:r>
                </w:p>
              </w:tc>
              <w:tc>
                <w:tcPr>
                  <w:tcW w:w="351" w:type="dxa"/>
                  <w:vMerge w:val="restart"/>
                </w:tcPr>
                <w:p w14:paraId="62B4C2CE"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w:t>
                  </w:r>
                </w:p>
              </w:tc>
              <w:tc>
                <w:tcPr>
                  <w:tcW w:w="4657" w:type="dxa"/>
                </w:tcPr>
                <w:p w14:paraId="4BA2537E"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+ 1 dacă tranzacţia este o poziţie lungă pe determinantul de risc principal sau cel mai semnificativ determinant de risc în acea categorie de risc</w:t>
                  </w:r>
                </w:p>
              </w:tc>
            </w:tr>
            <w:tr w:rsidR="000B234D" w:rsidRPr="003B14E9" w14:paraId="3D486430" w14:textId="77777777" w:rsidTr="00B11411">
              <w:trPr>
                <w:trHeight w:val="87"/>
              </w:trPr>
              <w:tc>
                <w:tcPr>
                  <w:tcW w:w="408" w:type="dxa"/>
                  <w:vMerge/>
                </w:tcPr>
                <w:p w14:paraId="54243BD1" w14:textId="77777777" w:rsidR="000B234D" w:rsidRPr="003B14E9" w:rsidRDefault="000B234D" w:rsidP="000B234D">
                  <w:pPr>
                    <w:pStyle w:val="CM4"/>
                    <w:rPr>
                      <w:rFonts w:ascii="Times New Roman" w:hAnsi="Times New Roman"/>
                      <w:color w:val="000000"/>
                      <w:sz w:val="18"/>
                      <w:szCs w:val="18"/>
                    </w:rPr>
                  </w:pPr>
                </w:p>
              </w:tc>
              <w:tc>
                <w:tcPr>
                  <w:tcW w:w="351" w:type="dxa"/>
                  <w:vMerge/>
                </w:tcPr>
                <w:p w14:paraId="0D1799CB" w14:textId="77777777" w:rsidR="000B234D" w:rsidRPr="003B14E9" w:rsidRDefault="000B234D" w:rsidP="000B234D">
                  <w:pPr>
                    <w:pStyle w:val="CM4"/>
                    <w:rPr>
                      <w:rFonts w:ascii="Times New Roman" w:hAnsi="Times New Roman"/>
                      <w:color w:val="000000"/>
                      <w:sz w:val="18"/>
                      <w:szCs w:val="18"/>
                    </w:rPr>
                  </w:pPr>
                </w:p>
              </w:tc>
              <w:tc>
                <w:tcPr>
                  <w:tcW w:w="4657" w:type="dxa"/>
                </w:tcPr>
                <w:p w14:paraId="5D73C48E" w14:textId="77777777" w:rsidR="000B234D" w:rsidRPr="003B14E9" w:rsidRDefault="000B234D" w:rsidP="000B234D">
                  <w:pPr>
                    <w:pStyle w:val="CM4"/>
                    <w:rPr>
                      <w:rFonts w:ascii="Times New Roman" w:hAnsi="Times New Roman"/>
                      <w:color w:val="000000"/>
                      <w:sz w:val="18"/>
                      <w:szCs w:val="18"/>
                    </w:rPr>
                  </w:pPr>
                  <w:r w:rsidRPr="003B14E9">
                    <w:rPr>
                      <w:rFonts w:ascii="Times New Roman" w:hAnsi="Times New Roman"/>
                      <w:color w:val="000000"/>
                      <w:sz w:val="18"/>
                      <w:szCs w:val="18"/>
                    </w:rPr>
                    <w:t>– 1 dacă tranzacţia este o poziţie scurtă pe determinantul de risc principal sau cel mai semnificativ determinant de risc în acea categorie de risc</w:t>
                  </w:r>
                </w:p>
              </w:tc>
            </w:tr>
          </w:tbl>
          <w:p w14:paraId="1D384ECB" w14:textId="77777777" w:rsidR="000B234D" w:rsidRPr="003B14E9" w:rsidRDefault="000B234D" w:rsidP="000B234D">
            <w:pPr>
              <w:pStyle w:val="Default"/>
              <w:rPr>
                <w:rFonts w:ascii="Times New Roman" w:hAnsi="Times New Roman" w:cs="Times New Roman"/>
                <w:sz w:val="18"/>
                <w:szCs w:val="18"/>
              </w:rPr>
            </w:pPr>
          </w:p>
          <w:p w14:paraId="143394EB" w14:textId="77777777" w:rsidR="000B234D" w:rsidRPr="003B14E9" w:rsidRDefault="000B234D" w:rsidP="000B234D">
            <w:pPr>
              <w:pStyle w:val="Default"/>
              <w:ind w:firstLine="567"/>
              <w:rPr>
                <w:rFonts w:ascii="Times New Roman" w:hAnsi="Times New Roman" w:cs="Times New Roman"/>
                <w:sz w:val="18"/>
                <w:szCs w:val="18"/>
              </w:rPr>
            </w:pPr>
          </w:p>
          <w:p w14:paraId="19E4C6AD"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56.</w:t>
            </w:r>
            <w:r w:rsidRPr="003B14E9">
              <w:rPr>
                <w:rFonts w:eastAsiaTheme="minorHAnsi"/>
                <w:color w:val="000000"/>
                <w:sz w:val="18"/>
                <w:szCs w:val="18"/>
                <w:lang w:val="ro-MD" w:eastAsia="en-US"/>
                <w14:ligatures w14:val="standardContextual"/>
              </w:rPr>
              <w:t xml:space="preserve"> În sensul prezentei secţiuni, o poziţie lungă pe determinantul de risc principal sau pe cel mai semnificativ determinant de risc într-o anumită categorie de risc pentru tranzacţiile menţionate la punctul 46 înseamnă că valoarea de piaţă a tranzacţiei crește atunci când valoarea determinantului de risc respectiv crește, iar o poziţie scurtă pe determinantul de risc principal sau pe cel mai semnificativ determinant de risc într-o anumită categorie de risc pentru tranzacţiile menţionate la punctul 46 înseamnă că valoarea de piaţă a tranzacţiei scade atunci când valoarea determinantului de risc respectiv crește. </w:t>
            </w:r>
          </w:p>
          <w:p w14:paraId="72EE0314" w14:textId="77777777" w:rsidR="000B234D" w:rsidRPr="003B14E9" w:rsidRDefault="000B234D" w:rsidP="000B234D">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2FF909CE" w14:textId="61E4CE64" w:rsidR="000B234D" w:rsidRPr="003B14E9" w:rsidRDefault="000B234D" w:rsidP="000B234D">
            <w:pPr>
              <w:jc w:val="both"/>
              <w:rPr>
                <w:sz w:val="18"/>
                <w:szCs w:val="18"/>
                <w:lang w:val="ro-MD"/>
              </w:rPr>
            </w:pPr>
            <w:r w:rsidRPr="003B14E9">
              <w:rPr>
                <w:sz w:val="18"/>
                <w:szCs w:val="18"/>
                <w:lang w:val="ro-MD"/>
              </w:rPr>
              <w:lastRenderedPageBreak/>
              <w:t xml:space="preserve">Parțial compatibil </w:t>
            </w:r>
          </w:p>
        </w:tc>
        <w:tc>
          <w:tcPr>
            <w:tcW w:w="3041" w:type="dxa"/>
          </w:tcPr>
          <w:p w14:paraId="7FFA0145" w14:textId="21CEC412" w:rsidR="000B234D" w:rsidRPr="003B14E9" w:rsidRDefault="000B234D" w:rsidP="000B234D">
            <w:pPr>
              <w:rPr>
                <w:sz w:val="18"/>
                <w:szCs w:val="18"/>
                <w:highlight w:val="red"/>
                <w:lang w:val="ro-MD"/>
              </w:rPr>
            </w:pPr>
            <w:r w:rsidRPr="003B14E9">
              <w:rPr>
                <w:sz w:val="18"/>
                <w:szCs w:val="18"/>
                <w:lang w:val="ro-MD"/>
              </w:rPr>
              <w:t>Nu se transpune, deoarece ține de competența ABE.</w:t>
            </w:r>
          </w:p>
        </w:tc>
        <w:tc>
          <w:tcPr>
            <w:tcW w:w="1055" w:type="dxa"/>
            <w:tcBorders>
              <w:top w:val="single" w:sz="4" w:space="0" w:color="auto"/>
              <w:bottom w:val="single" w:sz="4" w:space="0" w:color="auto"/>
            </w:tcBorders>
          </w:tcPr>
          <w:p w14:paraId="350FA150" w14:textId="77777777" w:rsidR="000B234D" w:rsidRPr="003B14E9" w:rsidRDefault="000B234D" w:rsidP="000B234D">
            <w:pPr>
              <w:jc w:val="both"/>
              <w:rPr>
                <w:sz w:val="18"/>
                <w:szCs w:val="18"/>
                <w:lang w:val="ro-MD"/>
              </w:rPr>
            </w:pPr>
          </w:p>
        </w:tc>
        <w:tc>
          <w:tcPr>
            <w:tcW w:w="1330" w:type="dxa"/>
            <w:tcBorders>
              <w:bottom w:val="single" w:sz="4" w:space="0" w:color="auto"/>
            </w:tcBorders>
          </w:tcPr>
          <w:p w14:paraId="33AC4D9C" w14:textId="77777777" w:rsidR="000B234D" w:rsidRPr="003B14E9" w:rsidRDefault="000B234D" w:rsidP="000B234D">
            <w:pPr>
              <w:jc w:val="both"/>
              <w:rPr>
                <w:sz w:val="18"/>
                <w:szCs w:val="18"/>
                <w:lang w:val="ro-MD"/>
              </w:rPr>
            </w:pPr>
          </w:p>
        </w:tc>
      </w:tr>
      <w:tr w:rsidR="000B234D" w:rsidRPr="003B14E9" w14:paraId="6D2A14F5" w14:textId="77777777" w:rsidTr="00604EF1">
        <w:trPr>
          <w:trHeight w:val="918"/>
        </w:trPr>
        <w:tc>
          <w:tcPr>
            <w:tcW w:w="4473" w:type="dxa"/>
          </w:tcPr>
          <w:p w14:paraId="46806651" w14:textId="40EB6D88" w:rsidR="000B234D" w:rsidRPr="003B14E9" w:rsidRDefault="000B234D" w:rsidP="00141A4D">
            <w:pPr>
              <w:pStyle w:val="CM4"/>
              <w:spacing w:before="60" w:after="60"/>
              <w:rPr>
                <w:rFonts w:ascii="Times New Roman" w:hAnsi="Times New Roman"/>
                <w:color w:val="000000"/>
                <w:sz w:val="18"/>
                <w:szCs w:val="18"/>
                <w:lang w:val="ro-MD"/>
              </w:rPr>
            </w:pPr>
            <w:r w:rsidRPr="003B14E9">
              <w:rPr>
                <w:rFonts w:ascii="Times New Roman" w:hAnsi="Times New Roman"/>
                <w:i/>
                <w:iCs/>
                <w:color w:val="000000"/>
                <w:sz w:val="18"/>
                <w:szCs w:val="18"/>
                <w:lang w:val="ro-MD"/>
              </w:rPr>
              <w:lastRenderedPageBreak/>
              <w:t>Articolul 279b</w:t>
            </w:r>
            <w:r w:rsidR="00141A4D" w:rsidRPr="003B14E9">
              <w:rPr>
                <w:rFonts w:ascii="Times New Roman" w:hAnsi="Times New Roman"/>
                <w:i/>
                <w:iCs/>
                <w:color w:val="000000"/>
                <w:sz w:val="18"/>
                <w:szCs w:val="18"/>
                <w:lang w:val="ro-MD"/>
              </w:rPr>
              <w:t xml:space="preserve"> </w:t>
            </w:r>
            <w:r w:rsidRPr="003B14E9">
              <w:rPr>
                <w:rFonts w:ascii="Times New Roman" w:hAnsi="Times New Roman"/>
                <w:b/>
                <w:bCs/>
                <w:color w:val="000000"/>
                <w:sz w:val="18"/>
                <w:szCs w:val="18"/>
                <w:lang w:val="ro-MD"/>
              </w:rPr>
              <w:t>Valoarea noţională ajustată</w:t>
            </w:r>
          </w:p>
          <w:p w14:paraId="46E202CC" w14:textId="77777777" w:rsidR="000B234D" w:rsidRPr="003B14E9" w:rsidRDefault="000B234D" w:rsidP="000B234D">
            <w:pPr>
              <w:pStyle w:val="CM4"/>
              <w:spacing w:before="60" w:after="60"/>
              <w:rPr>
                <w:rFonts w:ascii="Times New Roman" w:hAnsi="Times New Roman"/>
                <w:color w:val="000000"/>
                <w:sz w:val="18"/>
                <w:szCs w:val="18"/>
                <w:lang w:val="ro-MD"/>
              </w:rPr>
            </w:pPr>
            <w:r w:rsidRPr="003B14E9">
              <w:rPr>
                <w:rFonts w:ascii="Times New Roman" w:hAnsi="Times New Roman"/>
                <w:color w:val="000000"/>
                <w:sz w:val="18"/>
                <w:szCs w:val="18"/>
                <w:lang w:val="ro-MD"/>
              </w:rPr>
              <w:t xml:space="preserve">(1) Instituţiile calculează valoarea noţională ajustată după cum urmează: </w:t>
            </w:r>
          </w:p>
          <w:p w14:paraId="67922FFD" w14:textId="77777777" w:rsidR="000B234D" w:rsidRPr="003B14E9" w:rsidRDefault="000B234D" w:rsidP="000B234D">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(a) pentru tranzacţiile încadrate în categoria de risc de rată a dobânzii sau în categoria de risc de credit, instituţiile calculează valoarea noţională ajustată ca fiind produsul dintre valoarea noţională a contractului derivat și factorul duratei impus de autorităţile de supraveghere, care se calculează după cum urmează: </w:t>
            </w:r>
            <w:r w:rsidRPr="003B14E9">
              <w:rPr>
                <w:rFonts w:ascii="Times New Roman" w:hAnsi="Times New Roman"/>
                <w:b/>
                <w:bCs/>
                <w:color w:val="000000"/>
                <w:sz w:val="18"/>
                <w:szCs w:val="18"/>
              </w:rPr>
              <w:t xml:space="preserve">▼C7 </w:t>
            </w:r>
          </w:p>
          <w:p w14:paraId="6E47DB9E" w14:textId="77777777" w:rsidR="000B234D" w:rsidRPr="003B14E9" w:rsidRDefault="000B234D" w:rsidP="000B234D">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63B5CB84" wp14:editId="504D776B">
                  <wp:extent cx="2768947" cy="439948"/>
                  <wp:effectExtent l="0" t="0" r="0" b="0"/>
                  <wp:docPr id="472652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83" cy="519095"/>
                          </a:xfrm>
                          <a:prstGeom prst="rect">
                            <a:avLst/>
                          </a:prstGeom>
                          <a:noFill/>
                          <a:ln>
                            <a:noFill/>
                          </a:ln>
                        </pic:spPr>
                      </pic:pic>
                    </a:graphicData>
                  </a:graphic>
                </wp:inline>
              </w:drawing>
            </w:r>
          </w:p>
          <w:p w14:paraId="55C12D04"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6EE8CC97"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R = rata de actualizare impusă de autorităţile de supraveghere; R = 5 %;</w:t>
            </w:r>
          </w:p>
          <w:p w14:paraId="73FDAA66"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S = perioada de timp dintre data de începere a unei tranzacţii și data raportării, care este exprimată în ani, utilizând convenţia privind zilele lucrătoare relevantă; </w:t>
            </w:r>
          </w:p>
          <w:p w14:paraId="657EFA79"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E = perioada dintre data de încetare a unei tranzacţii și data raportării, care este exprimată în ani, utilizând convenţia privind zilele lucrătoare relevantă; și un exerciţiu financiar (OneBusinessYear) = un an exprimat în zile lucrătoare utilizând convenţia privind zilele lucrătoare relevantă. </w:t>
            </w:r>
          </w:p>
          <w:p w14:paraId="535BD1B1"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Data de începere a unei tranzacţii este prima dată la care este fie stabilită, fie efectuată cel puţin o plată contractuală în cadrul tranzacţiei, către instituţie sau din partea instituţiei, alta decât plăţile legate de schimbul de garanţii reale din cadrul unui contract în marjă. În cazul în care tranzacţia a început deja să stabilească sau să efectueze plăţi la data raportării, data de începere a unei tranzacţii este egală cu 0. </w:t>
            </w:r>
          </w:p>
          <w:p w14:paraId="0488560F"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o tranzacţie implică una sau mai multe date contractuale viitoare la care instituţia sau contrapartea poate decide să pună capăt tranzacţiei înainte de scadenţa </w:t>
            </w:r>
            <w:r w:rsidRPr="003B14E9">
              <w:rPr>
                <w:rFonts w:ascii="Times New Roman" w:hAnsi="Times New Roman"/>
                <w:color w:val="000000"/>
                <w:sz w:val="18"/>
                <w:szCs w:val="18"/>
              </w:rPr>
              <w:lastRenderedPageBreak/>
              <w:t xml:space="preserve">contractuală a acesteia, data de începere a unei tranzacţii este egală cu prima dintre următoarele: </w:t>
            </w:r>
          </w:p>
          <w:p w14:paraId="7D5A405B"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data sau prima dintre datele viitoare multiple la care instituţia sau contrapartea poate decide să pună capăt tranzacţiei înainte de scadenţa contractuală a acesteia; </w:t>
            </w:r>
          </w:p>
          <w:p w14:paraId="0A63EB22"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 data la care o tranzacţie începe să stabilească sau să efectueze plăţi, altele decât plăţile legate de schimbul de garanţii reale din cadrul unui contract în marjă. </w:t>
            </w:r>
          </w:p>
          <w:p w14:paraId="3640256F"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o tranzacţie are ca instrument-suport un instrument financiar care poate da naștere unor obligaţii contractuale suplimentare faţă de cele care decurg din tranzacţie, data de începere a unei tranzacţii se determină pe baza primei date la care instrumentul-suport începe stabilirea sau efectuarea plăţilor. </w:t>
            </w:r>
          </w:p>
          <w:p w14:paraId="55E8E1FF"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Data de încetare a unei tranzacţii este ultima dată la care este efectuată sau poate fi efectuată o plată contractuală în cadrul tranzacţiei, către sau din partea instituţiei. </w:t>
            </w:r>
          </w:p>
          <w:p w14:paraId="6232E933"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o tranzacţie are ca instrument-suport un instrument financiar care poate da naștere unor obligaţii contractuale suplimentare faţă de cele care decurg din tranzacţie, data de încetare a unei tranzacţii se determină pe baza ultimei plăţi contractuale aferente instrumentului-suport al tranzacţiei. </w:t>
            </w:r>
          </w:p>
          <w:p w14:paraId="56292324"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o tranzacţie este structurată astfel încât o expunere rămasă de rambursat să fie decontată după anumite date de plată specificate și termenii sunt revizuiţi astfel încât valoarea de piaţă a tranzacţiei să fie zero la datele specificate respective, decontarea expunerii rămase de rambursat la aceste date specificate este considerată plată contractuală în cadrul aceleiași tranzacţii; </w:t>
            </w:r>
          </w:p>
          <w:p w14:paraId="0335FF36"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în cazul tranzacţiilor încadrate în categoria de risc valutar, instituţiile calculează valoarea noţională ajustată după cum urmează: </w:t>
            </w:r>
          </w:p>
          <w:p w14:paraId="498C7A02"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(i) în cazul în care tranzacţia este formată dintr-un segment de plată, valoarea noţională ajustată este valoarea noţională a contractului derivat; </w:t>
            </w:r>
          </w:p>
          <w:p w14:paraId="2D316BD5"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 în cazul în care tranzacţia este formată din două segmente de plată, iar valoarea noţională a unui segment de plată este denominată în moneda de raportare a instituţiei, valoarea noţională ajustată este valoarea noţională a celuilalt segment de plată; </w:t>
            </w:r>
          </w:p>
          <w:p w14:paraId="5C029156"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(iii) în cazul în care tranzacţia este formată din două segmente de plată, iar valoarea noţională a fiecărui segment de plată este denominată într-o altă monedă decât moneda de raportare a instituţiei, valoarea noţională ajustată este cea mai mare dintre valorile noţionale ale celor două segmente de plată după ce valorile respective au fost convertite în moneda de raportare a instituţiei la cursul de schimb la vedere predominant; </w:t>
            </w:r>
          </w:p>
          <w:p w14:paraId="698E6A9A"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(c) pentru tranzacţiile încadrate în categoria de risc privind titlurile de capital sau de risc de marfă, instituţiile calculează valoarea noţională ajustată ca fiind produsul dintre preţul de piaţă al unei unităţi a instrumentului-suport al tranzacţiei și numărul de unităţi ale instrumentului-suport la care se raportează tranzacţia; </w:t>
            </w:r>
          </w:p>
          <w:p w14:paraId="179C9866"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o tranzacţie încadrată în categoria de risc privind titlurile de capital sau de risc de marfă este exprimată prin contract ca o valoare noţională, instituţiile utilizează valoarea noţională a tranzacţiei, și nu numărul de unităţi ale instrumentului-suport, ca valoare noţională ajustată; </w:t>
            </w:r>
          </w:p>
          <w:p w14:paraId="6D8F3D98"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(d) pentru tranzacţiile încadrate în categoria „alte riscuri”, instituţiile calculează valoarea noţională ajustată pe baza metodei celei mai adecvate dintre metodele menţionate la literele (a), (b) și (c), în funcţie de natura și caracteristicile instrumentului-suport al tranzacţiei. </w:t>
            </w:r>
          </w:p>
          <w:p w14:paraId="2B3AE76E"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În scopul calculării valorii noţionale ajustate a unei tranzacţii menţionate la alineatul (1), instituţiile determină </w:t>
            </w:r>
            <w:r w:rsidRPr="003B14E9">
              <w:rPr>
                <w:rFonts w:ascii="Times New Roman" w:hAnsi="Times New Roman"/>
                <w:color w:val="000000"/>
                <w:sz w:val="18"/>
                <w:szCs w:val="18"/>
              </w:rPr>
              <w:lastRenderedPageBreak/>
              <w:t xml:space="preserve">valoarea noţională sau numărul de unităţi ale instrumentului-suport după cum urmează: </w:t>
            </w:r>
          </w:p>
          <w:p w14:paraId="0DCD4081"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 în cazul în care valoarea noţională sau numărul de unităţi ale instrumentului-suport al unei tranzacţii nu este stabilit până la scadenţa contractuală: </w:t>
            </w:r>
          </w:p>
          <w:p w14:paraId="16304AAA"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pentru valori deterministe ale valorilor noţionale și ale numărului de unităţi ale instrumentului-suport, valoarea noţională este media ponderată a tuturor valorilor deterministe ale valorilor noţionale sau ale numărului de unităţi ale instrumentului-suport, după caz, până la scadenţa contractuală a tranzacţiei, ponderile fiind date de proporţia din perioada de timp în care se aplică fiecare valoare noţională; </w:t>
            </w:r>
          </w:p>
          <w:p w14:paraId="55AD1F44"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 pentru valori stocastice ale valorilor noţionale și ale numărului de unităţi ale instrumentului-suport, valoarea noţională este valoarea determinată prin stabilirea valorilor curente de piaţă în formula de calcul al valorilor de piaţă viitoare; </w:t>
            </w:r>
          </w:p>
          <w:p w14:paraId="6D9566CA"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în cazul contractelor care presupun schimburi multiple ale valorii noţionale, aceasta se înmulţește cu numărul plăţilor care mai rămân de efectuat conform contractelor; </w:t>
            </w:r>
          </w:p>
          <w:p w14:paraId="17955397"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(c) în cazul contractelor care prevăd o multiplicare a plăţilor aferente fluxurilor de numerar sau o multiplicare a instrumentului-suport al contractului derivat, instituţia ajustează valoarea noţională pentru a reflecta efectele multiplicării asupra structurii de risc a contractelor respective. </w:t>
            </w:r>
          </w:p>
          <w:p w14:paraId="6E3250C0" w14:textId="56B4733D" w:rsidR="000B234D" w:rsidRPr="003B14E9" w:rsidRDefault="000B234D" w:rsidP="000B234D">
            <w:pPr>
              <w:pStyle w:val="CM4"/>
              <w:spacing w:before="60" w:after="60"/>
              <w:rPr>
                <w:rFonts w:ascii="Times New Roman" w:hAnsi="Times New Roman"/>
                <w:i/>
                <w:iCs/>
                <w:color w:val="000000"/>
                <w:sz w:val="20"/>
                <w:szCs w:val="20"/>
              </w:rPr>
            </w:pPr>
            <w:r w:rsidRPr="003B14E9">
              <w:rPr>
                <w:rFonts w:ascii="Times New Roman" w:hAnsi="Times New Roman"/>
                <w:color w:val="000000"/>
                <w:sz w:val="18"/>
                <w:szCs w:val="18"/>
              </w:rPr>
              <w:t xml:space="preserve">(3) Instituţiile convertesc valoarea noţională ajustată a unei tranzacţii în moneda lor de raportare la cursul de schimb la vedere predominant în cazul în care valoarea noţională ajustată este calculată în conformitate cu prezentul articol pornind de la o valoare noţională contractuală sau de la un </w:t>
            </w:r>
            <w:r w:rsidRPr="003B14E9">
              <w:rPr>
                <w:rFonts w:ascii="Times New Roman" w:hAnsi="Times New Roman"/>
                <w:color w:val="000000"/>
                <w:sz w:val="18"/>
                <w:szCs w:val="18"/>
              </w:rPr>
              <w:lastRenderedPageBreak/>
              <w:t xml:space="preserve">preţ de piaţă al numărului de unităţi ale instrumentului-suport denominat într-o altă monedă. </w:t>
            </w:r>
          </w:p>
        </w:tc>
        <w:tc>
          <w:tcPr>
            <w:tcW w:w="4425" w:type="dxa"/>
            <w:shd w:val="clear" w:color="auto" w:fill="auto"/>
          </w:tcPr>
          <w:p w14:paraId="46EB365D" w14:textId="77777777" w:rsidR="000B234D" w:rsidRPr="003B14E9" w:rsidRDefault="000B234D" w:rsidP="000B234D">
            <w:pPr>
              <w:pStyle w:val="CM4"/>
              <w:spacing w:before="60" w:after="60"/>
              <w:ind w:firstLine="567"/>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 xml:space="preserve">Secțiunea a 9-a </w:t>
            </w:r>
          </w:p>
          <w:p w14:paraId="4891563E" w14:textId="77777777" w:rsidR="000B234D" w:rsidRPr="003B14E9" w:rsidRDefault="000B234D" w:rsidP="000B234D">
            <w:pPr>
              <w:pStyle w:val="Default"/>
              <w:ind w:firstLine="567"/>
              <w:jc w:val="center"/>
              <w:rPr>
                <w:rFonts w:ascii="Times New Roman" w:hAnsi="Times New Roman" w:cs="Times New Roman"/>
                <w:b/>
                <w:bCs/>
                <w:sz w:val="18"/>
                <w:szCs w:val="18"/>
              </w:rPr>
            </w:pPr>
            <w:r w:rsidRPr="003B14E9">
              <w:rPr>
                <w:rFonts w:ascii="Times New Roman" w:hAnsi="Times New Roman" w:cs="Times New Roman"/>
                <w:b/>
                <w:bCs/>
                <w:sz w:val="18"/>
                <w:szCs w:val="18"/>
              </w:rPr>
              <w:t>Valoarea noţională ajustată</w:t>
            </w:r>
          </w:p>
          <w:p w14:paraId="0AA654CE"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57.</w:t>
            </w:r>
            <w:r w:rsidRPr="003B14E9">
              <w:rPr>
                <w:rFonts w:eastAsiaTheme="minorHAnsi"/>
                <w:color w:val="000000"/>
                <w:sz w:val="18"/>
                <w:szCs w:val="18"/>
                <w:lang w:val="ro-MD" w:eastAsia="en-US"/>
                <w14:ligatures w14:val="standardContextual"/>
              </w:rPr>
              <w:t xml:space="preserve"> Băncile calculează valoarea noţională ajustată după cum urmează: </w:t>
            </w:r>
          </w:p>
          <w:p w14:paraId="2A1012DE"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1) pentru tranzacţiile încadrate în categoria de risc de rată a dobânzii sau în categoria de risc de credit, băncile calculează valoarea noţională ajustată ca fiind produsul dintre valoarea noţională a contractului derivat și factorul duratei impus de Banca Națională a Moldovei, care se calculează după cum urmează: </w:t>
            </w:r>
          </w:p>
          <w:p w14:paraId="45B092AF" w14:textId="77777777" w:rsidR="000B234D" w:rsidRPr="003B14E9" w:rsidRDefault="000B234D" w:rsidP="000B234D">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E0996F5" wp14:editId="10F114B1">
                  <wp:extent cx="2571750" cy="342855"/>
                  <wp:effectExtent l="0" t="0" r="0" b="635"/>
                  <wp:docPr id="157965493" name="Picture 15796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0325" cy="365329"/>
                          </a:xfrm>
                          <a:prstGeom prst="rect">
                            <a:avLst/>
                          </a:prstGeom>
                          <a:noFill/>
                          <a:ln>
                            <a:noFill/>
                          </a:ln>
                        </pic:spPr>
                      </pic:pic>
                    </a:graphicData>
                  </a:graphic>
                </wp:inline>
              </w:drawing>
            </w:r>
          </w:p>
          <w:p w14:paraId="21F81AB8" w14:textId="77777777" w:rsidR="000B234D" w:rsidRPr="003B14E9" w:rsidRDefault="000B234D" w:rsidP="000B234D">
            <w:pPr>
              <w:pStyle w:val="Default"/>
              <w:ind w:firstLine="567"/>
              <w:jc w:val="both"/>
              <w:rPr>
                <w:rFonts w:ascii="Times New Roman" w:hAnsi="Times New Roman" w:cs="Times New Roman"/>
                <w:sz w:val="18"/>
                <w:szCs w:val="18"/>
              </w:rPr>
            </w:pPr>
            <w:r w:rsidRPr="003B14E9">
              <w:rPr>
                <w:rFonts w:ascii="Times New Roman" w:hAnsi="Times New Roman" w:cs="Times New Roman"/>
                <w:sz w:val="18"/>
                <w:szCs w:val="18"/>
              </w:rPr>
              <w:t xml:space="preserve"> </w:t>
            </w:r>
          </w:p>
          <w:p w14:paraId="4625C1D6" w14:textId="77777777" w:rsidR="000B234D" w:rsidRPr="003B14E9" w:rsidRDefault="000B234D" w:rsidP="000B234D">
            <w:pPr>
              <w:autoSpaceDE w:val="0"/>
              <w:autoSpaceDN w:val="0"/>
              <w:adjustRightInd w:val="0"/>
              <w:jc w:val="both"/>
              <w:rPr>
                <w:rFonts w:eastAsiaTheme="minorHAnsi"/>
                <w:color w:val="000000"/>
                <w:sz w:val="18"/>
                <w:szCs w:val="18"/>
                <w:lang w:val="en-US"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318A030A"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R = rata de actualizare impusă de Banca Națională a Moldovei; </w:t>
            </w:r>
          </w:p>
          <w:p w14:paraId="16A35760"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R = 5 %;</w:t>
            </w:r>
          </w:p>
          <w:p w14:paraId="135BAEF5"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S = perioada de timp dintre data de începere a unei tranzacţii și data raportării, care este exprimată în ani, utilizând convenţia privind zilele lucrătoare relevantă; </w:t>
            </w:r>
          </w:p>
          <w:p w14:paraId="3F539F82"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E = perioada dintre data de încetare a unei tranzacţii și data raportării, care este exprimată în ani, utilizând convenţia privind zilele lucrătoare relevantă; și </w:t>
            </w:r>
          </w:p>
          <w:p w14:paraId="061B020A"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 exerciţiu financiar (OneBusinessYear) = un an exprimat în zile lucrătoare utilizând convenţia privind zilele lucrătoare relevantă. </w:t>
            </w:r>
          </w:p>
          <w:p w14:paraId="5529FBDE"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Data de începere a unei tranzacţii este prima dată la care este fie stabilită, fie efectuată cel puţin o plată contractuală în cadrul tranzacţiei, către bancă sau din partea băncii, alta decât plăţile legate de schimbul de garanţii reale din cadrul unui contract în marjă. În cazul în care tranzacţia a început deja să stabilească sau să efectueze plăţi la data raportării, data de începere a unei tranzacţii este egală cu 0. </w:t>
            </w:r>
          </w:p>
          <w:p w14:paraId="46B0635E"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în care o tranzacţie implică una sau mai multe date contractuale viitoare la care banca sau contrapartea poate decide să pună capăt tranzacţiei înainte de scadenţa </w:t>
            </w:r>
            <w:r w:rsidRPr="003B14E9">
              <w:rPr>
                <w:rFonts w:eastAsiaTheme="minorHAnsi"/>
                <w:color w:val="000000"/>
                <w:sz w:val="18"/>
                <w:szCs w:val="18"/>
                <w:lang w:val="ro-MD" w:eastAsia="en-US"/>
                <w14:ligatures w14:val="standardContextual"/>
              </w:rPr>
              <w:lastRenderedPageBreak/>
              <w:t xml:space="preserve">contractuală a acesteia, data de începere a unei tranzacţii este egală cu prima dintre următoarele: </w:t>
            </w:r>
          </w:p>
          <w:p w14:paraId="77E0E051"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a) data sau prima dintre datele viitoare multiple la care banca sau contrapartea poate decide să pună capăt tranzacţiei înainte de scadenţa contractuală a acesteia; </w:t>
            </w:r>
          </w:p>
          <w:p w14:paraId="090A7518"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b) data la care o tranzacţie începe să stabilească sau să efectueze plăţi, altele decât plăţile legate de schimbul de garanţii reale din cadrul unui contract în marjă. </w:t>
            </w:r>
          </w:p>
          <w:p w14:paraId="713AE252"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în care o tranzacţie are ca instrument-suport un instrument financiar care poate da naștere unor obligaţii contractuale suplimentare faţă de cele care decurg din tranzacţie, data de începere a unei tranzacţii se determină pe baza primei date la care instrumentul-suport începe stabilirea sau efectuarea plăţilor. </w:t>
            </w:r>
          </w:p>
          <w:p w14:paraId="7B09645D"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Data de încetare a unei tranzacţii este ultima dată la care este efectuată sau poate fi efectuată o plată contractuală în cadrul tranzacţiei, către sau din partea băncii. </w:t>
            </w:r>
          </w:p>
          <w:p w14:paraId="325C384D"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în care o tranzacţie are ca instrument-suport un instrument financiar care poate da naștere unor obligaţii contractuale suplimentare faţă de cele care decurg din tranzacţie, data de încetare a unei tranzacţii se determină pe baza ultimei plăţi contractuale aferente instrumentului-suport al tranzacţiei. </w:t>
            </w:r>
          </w:p>
          <w:p w14:paraId="16E8A6D6"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în care o tranzacţie este structurată astfel încât o expunere rămasă de rambursat să fie decontată după anumite date de plată specificate și termenii sunt revizuiţi astfel încât valoarea de piaţă a tranzacţiei să fie zero la datele specificate respective, decontarea expunerii rămase de rambursat la aceste date specificate este considerată plată contractuală în cadrul aceleiași tranzacţii; </w:t>
            </w:r>
          </w:p>
          <w:p w14:paraId="76551071"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în cazul tranzacţiilor încadrate în categoria de risc valutar, băncile calculează valoarea noţională ajustată după cum urmează: </w:t>
            </w:r>
          </w:p>
          <w:p w14:paraId="3864C1CD"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 xml:space="preserve">a) în cazul în care tranzacţia este formată dintr-un segment de plată, valoarea noţională ajustată este valoarea noţională a contractului derivat; </w:t>
            </w:r>
          </w:p>
          <w:p w14:paraId="0C6BADF7"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b) în cazul în care tranzacţia este formată din două segmente de plată, iar valoarea noţională a unui segment de plată este denominată în moneda de raportare a băncii, valoarea noţională ajustată este valoarea noţională a celuilalt segment de plată; </w:t>
            </w:r>
          </w:p>
          <w:p w14:paraId="19FDA411"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c) în cazul în care tranzacţia este formată din două segmente de plată, iar valoarea noţională a fiecărui segment de plată este denominată într-o altă monedă decât moneda de raportare a băncii, valoarea noţională ajustată este cea mai mare dintre valorile noţionale ale celor două segmente de plată după ce valorile respective au fost convertite în moneda de raportare a băncii la cursul de schimb la vedere predominant; </w:t>
            </w:r>
          </w:p>
          <w:p w14:paraId="328BD0A8"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3) pentru tranzacţiile încadrate în categoria de risc privind titlurile de capital sau de risc de marfă, băncile calculează valoarea noţională ajustată ca fiind produsul dintre preţul de piaţă al unei unităţi a instrumentului-suport al tranzacţiei și numărul de unităţi ale instrumentului-suport la care se raportează tranzacţia; </w:t>
            </w:r>
          </w:p>
          <w:p w14:paraId="38D08483"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în care o tranzacţie încadrată în categoria de risc privind titlurile de capital sau de risc de marfă este exprimată prin contract ca o valoare noţională, băncile utilizează valoarea noţională a tranzacţiei, și nu numărul de unităţi ale instrumentului-suport, ca valoare noţională ajustată; </w:t>
            </w:r>
          </w:p>
          <w:p w14:paraId="32787A5F"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4) pentru tranzacţiile încadrate în categoria „alte riscuri”, băncile calculează valoarea noţională ajustată pe baza metodei celei mai adecvate dintre metodele menţionate la literele (a), (b) și (c), în funcţie de natura și caracteristicile instrumentului-suport al tranzacţiei. </w:t>
            </w:r>
          </w:p>
          <w:p w14:paraId="52FB4DC0"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58.</w:t>
            </w:r>
            <w:r w:rsidRPr="003B14E9">
              <w:rPr>
                <w:rFonts w:eastAsiaTheme="minorHAnsi"/>
                <w:color w:val="000000"/>
                <w:sz w:val="18"/>
                <w:szCs w:val="18"/>
                <w:lang w:val="ro-MD" w:eastAsia="en-US"/>
                <w14:ligatures w14:val="standardContextual"/>
              </w:rPr>
              <w:t xml:space="preserve"> În scopul calculării valorii noţionale ajustate a unei tranzacţii menţionate la punctul 57, băncile determină valoarea noţională sau numărul de unităţi ale instrumentului-suport după cum urmează: </w:t>
            </w:r>
          </w:p>
          <w:p w14:paraId="0DE2A448"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 xml:space="preserve">1) în cazul în care valoarea noţională sau numărul de unităţi ale instrumentului-suport al unei tranzacţii nu este stabilit până la scadenţa contractuală: </w:t>
            </w:r>
          </w:p>
          <w:p w14:paraId="4AC5165A"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a) pentru valori deterministe ale valorilor noţionale și ale numărului de unităţi ale instrumentului-suport, valoarea noţională este media ponderată a tuturor valorilor deterministe ale valorilor noţionale sau ale numărului de unităţi ale instrumentului-suport, după caz, până la scadenţa contractuală a tranzacţiei, ponderile fiind date de proporţia din perioada de timp în care se aplică fiecare valoare noţională; </w:t>
            </w:r>
          </w:p>
          <w:p w14:paraId="05F75D61"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b) pentru valori stocastice ale valorilor noţionale și ale numărului de unităţi ale instrumentului-suport, valoarea noţională este valoarea determinată prin stabilirea valorilor curente de piaţă în formula de calcul al valorilor de piaţă viitoare; </w:t>
            </w:r>
          </w:p>
          <w:p w14:paraId="7DC60E2D"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2) în cazul contractelor care presupun schimburi multiple ale valorii noţionale, aceasta se înmulţește cu numărul plăţilor care mai rămân de efectuat conform contractelor; </w:t>
            </w:r>
          </w:p>
          <w:p w14:paraId="321AE08A"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3) în cazul contractelor care prevăd o multiplicare a plăţilor aferente fluxurilor de numerar sau o multiplicare a instrumentului-suport al contractului derivat, banca ajustează valoarea noţională pentru a reflecta efectele multiplicării asupra structurii de risc a contractelor respective. </w:t>
            </w:r>
          </w:p>
          <w:p w14:paraId="4C24E247"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59.</w:t>
            </w:r>
            <w:r w:rsidRPr="003B14E9">
              <w:rPr>
                <w:rFonts w:eastAsiaTheme="minorHAnsi"/>
                <w:color w:val="000000"/>
                <w:sz w:val="18"/>
                <w:szCs w:val="18"/>
                <w:lang w:val="ro-MD" w:eastAsia="en-US"/>
                <w14:ligatures w14:val="standardContextual"/>
              </w:rPr>
              <w:t xml:space="preserve"> Băncile convertesc valoarea noţională ajustată a unei tranzacţii în moneda lor de raportare la cursul de schimb la vedere predominant în cazul în care valoarea noţională ajustată este calculată în conformitate cu prezenta secțiune pornind de la o valoare noţională contractuală sau de la un preţ de piaţă al numărului de unităţi ale instrumentului-suport denominat într-o altă monedă. </w:t>
            </w:r>
          </w:p>
          <w:p w14:paraId="1B50D967" w14:textId="77777777" w:rsidR="000B234D" w:rsidRPr="003B14E9" w:rsidRDefault="000B234D" w:rsidP="000B234D">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07B0FD71" w14:textId="0BB37C0F" w:rsidR="000B234D" w:rsidRPr="003B14E9" w:rsidRDefault="000B234D" w:rsidP="000B234D">
            <w:pPr>
              <w:jc w:val="both"/>
              <w:rPr>
                <w:sz w:val="18"/>
                <w:szCs w:val="18"/>
                <w:lang w:val="ro-MD"/>
              </w:rPr>
            </w:pPr>
            <w:r w:rsidRPr="003B14E9">
              <w:rPr>
                <w:sz w:val="18"/>
                <w:szCs w:val="18"/>
                <w:lang w:val="ro-MD"/>
              </w:rPr>
              <w:lastRenderedPageBreak/>
              <w:t>Compatibil</w:t>
            </w:r>
          </w:p>
        </w:tc>
        <w:tc>
          <w:tcPr>
            <w:tcW w:w="3041" w:type="dxa"/>
          </w:tcPr>
          <w:p w14:paraId="2BF7944B" w14:textId="77777777" w:rsidR="000B234D" w:rsidRPr="003B14E9" w:rsidRDefault="000B234D" w:rsidP="000B234D">
            <w:pPr>
              <w:rPr>
                <w:sz w:val="18"/>
                <w:szCs w:val="18"/>
                <w:highlight w:val="red"/>
                <w:lang w:val="ro-MD"/>
              </w:rPr>
            </w:pPr>
          </w:p>
        </w:tc>
        <w:tc>
          <w:tcPr>
            <w:tcW w:w="1055" w:type="dxa"/>
            <w:tcBorders>
              <w:top w:val="single" w:sz="4" w:space="0" w:color="auto"/>
              <w:bottom w:val="single" w:sz="4" w:space="0" w:color="auto"/>
            </w:tcBorders>
          </w:tcPr>
          <w:p w14:paraId="5400DC95" w14:textId="77777777" w:rsidR="000B234D" w:rsidRPr="003B14E9" w:rsidRDefault="000B234D" w:rsidP="000B234D">
            <w:pPr>
              <w:jc w:val="both"/>
              <w:rPr>
                <w:sz w:val="18"/>
                <w:szCs w:val="18"/>
                <w:lang w:val="ro-MD"/>
              </w:rPr>
            </w:pPr>
          </w:p>
        </w:tc>
        <w:tc>
          <w:tcPr>
            <w:tcW w:w="1330" w:type="dxa"/>
            <w:tcBorders>
              <w:bottom w:val="single" w:sz="4" w:space="0" w:color="auto"/>
            </w:tcBorders>
          </w:tcPr>
          <w:p w14:paraId="401B2A14" w14:textId="77777777" w:rsidR="000B234D" w:rsidRPr="003B14E9" w:rsidRDefault="000B234D" w:rsidP="000B234D">
            <w:pPr>
              <w:jc w:val="both"/>
              <w:rPr>
                <w:sz w:val="18"/>
                <w:szCs w:val="18"/>
                <w:lang w:val="ro-MD"/>
              </w:rPr>
            </w:pPr>
          </w:p>
        </w:tc>
      </w:tr>
      <w:tr w:rsidR="000B234D" w:rsidRPr="003B14E9" w14:paraId="4DC750C3" w14:textId="77777777" w:rsidTr="00604EF1">
        <w:trPr>
          <w:trHeight w:val="918"/>
        </w:trPr>
        <w:tc>
          <w:tcPr>
            <w:tcW w:w="4473" w:type="dxa"/>
          </w:tcPr>
          <w:p w14:paraId="5B7A4857" w14:textId="6353ABC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lastRenderedPageBreak/>
              <w:t>Articolul 279c</w:t>
            </w:r>
            <w:r w:rsidR="00DE176B"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Factorul de ajustare în funcţie de scadenţă</w:t>
            </w:r>
          </w:p>
          <w:p w14:paraId="7D36158E"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Instituţiile calculează factorul de ajustare în funcţie de scadenţă după cum urmează: </w:t>
            </w:r>
          </w:p>
          <w:p w14:paraId="1EE5F4A1" w14:textId="4B56995C" w:rsidR="000B234D" w:rsidRPr="003B14E9" w:rsidRDefault="000B234D" w:rsidP="000B234D">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(a) pentru tranzacţiile incluse în seturile de compensare menţionate la articolul 275 alineatul (1), instituţiile utilizează următoarea formulă: </w:t>
            </w:r>
          </w:p>
          <w:p w14:paraId="76E68AB1" w14:textId="77777777" w:rsidR="000B234D" w:rsidRPr="003B14E9" w:rsidRDefault="000B234D" w:rsidP="000B234D">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7A286AC" wp14:editId="31156E65">
                  <wp:extent cx="2606211" cy="258792"/>
                  <wp:effectExtent l="0" t="0" r="3810" b="8255"/>
                  <wp:docPr id="15455014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2755" cy="276323"/>
                          </a:xfrm>
                          <a:prstGeom prst="rect">
                            <a:avLst/>
                          </a:prstGeom>
                          <a:noFill/>
                          <a:ln>
                            <a:noFill/>
                          </a:ln>
                        </pic:spPr>
                      </pic:pic>
                    </a:graphicData>
                  </a:graphic>
                </wp:inline>
              </w:drawing>
            </w:r>
          </w:p>
          <w:p w14:paraId="0563B013"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C668179"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MF = factorul de ajustare în funcţie de scadenţă; </w:t>
            </w:r>
          </w:p>
          <w:p w14:paraId="6381DE1D"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M = scadenţa reziduală a tranzacţiei care este egală cu perioada de timp necesară pentru încetarea tuturor obligaţiilor contractuale care decurg din tranzacţie; în acest scop, se consideră că orice opţionalitate a unui contract derivat este o obligaţie contractuală; scadenţa reziduală se exprimă în ani, utilizând convenţia privind zilele lucrătoare relevantă; </w:t>
            </w:r>
          </w:p>
          <w:p w14:paraId="0832F29A"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o tranzacţie are ca instrument-suport un alt contract derivat care poate da naștere unor obligaţii contractuale suplimentare faţă de obligaţiile contractuale care decurg din tranzacţie, scadenţa reziduală a tranzacţiei este egală cu perioada de timp necesară pentru încetarea tuturor obligaţiilor contractuale aferente instrumentului- suport; </w:t>
            </w:r>
          </w:p>
          <w:p w14:paraId="2591BF49"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o tranzacţie este structurată astfel încât expunerea rămasă de rambursat să fie decontată după anumite date de plată specificate și termenii sunt revizuiţi astfel încât valoarea de piaţă a tranzacţiei să fie zero la datele specificate respective, scadenţa reziduală a </w:t>
            </w:r>
            <w:r w:rsidRPr="003B14E9">
              <w:rPr>
                <w:rFonts w:ascii="Times New Roman" w:hAnsi="Times New Roman"/>
                <w:color w:val="000000"/>
                <w:sz w:val="18"/>
                <w:szCs w:val="18"/>
              </w:rPr>
              <w:lastRenderedPageBreak/>
              <w:t xml:space="preserve">tranzacţiei este egală cu perioada rămasă până la data următoarei revizuiri a termenilor; și </w:t>
            </w:r>
          </w:p>
          <w:p w14:paraId="636415FB" w14:textId="77777777" w:rsidR="000B234D" w:rsidRPr="003B14E9" w:rsidRDefault="000B234D" w:rsidP="000B234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 exerciţiu financiar (OneBusinessYear) = un an exprimat în zile lucrătoare utilizând convenţia privind zilele lucrătoare relevantă; </w:t>
            </w:r>
          </w:p>
          <w:p w14:paraId="11AC1C72" w14:textId="77777777" w:rsidR="000B234D" w:rsidRPr="003B14E9" w:rsidRDefault="000B234D" w:rsidP="000B234D">
            <w:pPr>
              <w:autoSpaceDE w:val="0"/>
              <w:autoSpaceDN w:val="0"/>
              <w:adjustRightInd w:val="0"/>
              <w:spacing w:before="200" w:after="200"/>
              <w:rPr>
                <w:rFonts w:eastAsiaTheme="minorHAnsi"/>
                <w:color w:val="000000"/>
                <w:sz w:val="18"/>
                <w:szCs w:val="18"/>
                <w:lang w:val="ro-MD" w:eastAsia="en-US"/>
              </w:rPr>
            </w:pPr>
            <w:r w:rsidRPr="003B14E9">
              <w:rPr>
                <w:rFonts w:eastAsiaTheme="minorHAnsi"/>
                <w:color w:val="000000"/>
                <w:sz w:val="18"/>
                <w:szCs w:val="18"/>
                <w:lang w:val="ro-MD" w:eastAsia="en-US"/>
              </w:rPr>
              <w:t xml:space="preserve">(b) în cazul tranzacţiilor incluse în seturile de compensare menţionate la articolul 275 alineatele (2) și (3), factorul de ajustare în funcţie de scadenţă este definit ca: </w:t>
            </w:r>
          </w:p>
          <w:p w14:paraId="12CC0839" w14:textId="77777777" w:rsidR="000B234D" w:rsidRPr="003B14E9" w:rsidRDefault="000B234D" w:rsidP="000B234D">
            <w:pPr>
              <w:autoSpaceDE w:val="0"/>
              <w:autoSpaceDN w:val="0"/>
              <w:adjustRightInd w:val="0"/>
              <w:spacing w:before="200" w:after="200"/>
              <w:rPr>
                <w:rFonts w:eastAsiaTheme="minorHAnsi"/>
                <w:color w:val="000000"/>
                <w:sz w:val="18"/>
                <w:szCs w:val="18"/>
                <w:lang w:val="ro-MD" w:eastAsia="en-US"/>
              </w:rPr>
            </w:pPr>
            <w:r w:rsidRPr="003B14E9">
              <w:rPr>
                <w:rFonts w:eastAsiaTheme="minorHAnsi"/>
                <w:color w:val="000000"/>
                <w:sz w:val="18"/>
                <w:szCs w:val="18"/>
                <w:lang w:val="ro-MD" w:eastAsia="en-US"/>
              </w:rPr>
              <w:t xml:space="preserve"> </w:t>
            </w:r>
            <w:r w:rsidRPr="003B14E9">
              <w:rPr>
                <w:rFonts w:eastAsiaTheme="minorHAnsi"/>
                <w:noProof/>
                <w:color w:val="000000"/>
                <w:sz w:val="18"/>
                <w:szCs w:val="18"/>
                <w:lang w:val="en-US" w:eastAsia="en-US"/>
              </w:rPr>
              <w:drawing>
                <wp:inline distT="0" distB="0" distL="0" distR="0" wp14:anchorId="1E38E08D" wp14:editId="070B3C1F">
                  <wp:extent cx="2061713" cy="42947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3878" cy="440337"/>
                          </a:xfrm>
                          <a:prstGeom prst="rect">
                            <a:avLst/>
                          </a:prstGeom>
                          <a:noFill/>
                        </pic:spPr>
                      </pic:pic>
                    </a:graphicData>
                  </a:graphic>
                </wp:inline>
              </w:drawing>
            </w:r>
          </w:p>
          <w:p w14:paraId="38643F22" w14:textId="77777777" w:rsidR="000B234D" w:rsidRPr="003B14E9" w:rsidRDefault="000B234D" w:rsidP="000B234D">
            <w:pPr>
              <w:autoSpaceDE w:val="0"/>
              <w:autoSpaceDN w:val="0"/>
              <w:adjustRightInd w:val="0"/>
              <w:spacing w:before="200" w:after="200"/>
              <w:rPr>
                <w:rFonts w:eastAsiaTheme="minorHAnsi"/>
                <w:color w:val="000000"/>
                <w:sz w:val="18"/>
                <w:szCs w:val="18"/>
                <w:lang w:val="ro-MD" w:eastAsia="en-US"/>
              </w:rPr>
            </w:pPr>
            <w:r w:rsidRPr="003B14E9">
              <w:rPr>
                <w:rFonts w:eastAsiaTheme="minorHAnsi"/>
                <w:color w:val="000000"/>
                <w:sz w:val="18"/>
                <w:szCs w:val="18"/>
                <w:lang w:val="ro-MD" w:eastAsia="en-US"/>
              </w:rPr>
              <w:t xml:space="preserve">unde: </w:t>
            </w:r>
          </w:p>
          <w:p w14:paraId="78D6DFAD" w14:textId="77777777" w:rsidR="000B234D" w:rsidRPr="003B14E9" w:rsidRDefault="000B234D" w:rsidP="000B234D">
            <w:pPr>
              <w:autoSpaceDE w:val="0"/>
              <w:autoSpaceDN w:val="0"/>
              <w:adjustRightInd w:val="0"/>
              <w:spacing w:before="200" w:after="200"/>
              <w:rPr>
                <w:rFonts w:eastAsiaTheme="minorHAnsi"/>
                <w:color w:val="000000"/>
                <w:sz w:val="18"/>
                <w:szCs w:val="18"/>
                <w:lang w:val="ro-MD" w:eastAsia="en-US"/>
              </w:rPr>
            </w:pPr>
            <w:r w:rsidRPr="003B14E9">
              <w:rPr>
                <w:rFonts w:eastAsiaTheme="minorHAnsi"/>
                <w:color w:val="000000"/>
                <w:sz w:val="18"/>
                <w:szCs w:val="18"/>
                <w:lang w:val="ro-MD" w:eastAsia="en-US"/>
              </w:rPr>
              <w:t xml:space="preserve">MF = factorul de ajustare în funcţie de scadenţă; </w:t>
            </w:r>
          </w:p>
          <w:p w14:paraId="664FF85D" w14:textId="77777777" w:rsidR="000B234D" w:rsidRPr="003B14E9" w:rsidRDefault="000B234D" w:rsidP="000B234D">
            <w:pPr>
              <w:autoSpaceDE w:val="0"/>
              <w:autoSpaceDN w:val="0"/>
              <w:adjustRightInd w:val="0"/>
              <w:spacing w:before="200" w:after="200"/>
              <w:rPr>
                <w:rFonts w:eastAsiaTheme="minorHAnsi"/>
                <w:color w:val="000000"/>
                <w:sz w:val="18"/>
                <w:szCs w:val="18"/>
                <w:lang w:val="ro-MD" w:eastAsia="en-US"/>
              </w:rPr>
            </w:pPr>
            <w:r w:rsidRPr="003B14E9">
              <w:rPr>
                <w:rFonts w:eastAsiaTheme="minorHAnsi"/>
                <w:color w:val="000000"/>
                <w:sz w:val="18"/>
                <w:szCs w:val="18"/>
                <w:lang w:val="ro-MD" w:eastAsia="en-US"/>
              </w:rPr>
              <w:t xml:space="preserve">MPOR = perioada de risc de marjă aferentă setului de compensare determinată în conformitate cu articolul 285 alineatele (2)- (5); și </w:t>
            </w:r>
          </w:p>
          <w:p w14:paraId="24F80631" w14:textId="77777777" w:rsidR="000B234D" w:rsidRPr="003B14E9" w:rsidRDefault="000B234D" w:rsidP="000B234D">
            <w:pPr>
              <w:autoSpaceDE w:val="0"/>
              <w:autoSpaceDN w:val="0"/>
              <w:adjustRightInd w:val="0"/>
              <w:spacing w:before="200" w:after="200"/>
              <w:rPr>
                <w:rFonts w:eastAsiaTheme="minorHAnsi"/>
                <w:color w:val="000000"/>
                <w:sz w:val="18"/>
                <w:szCs w:val="18"/>
                <w:lang w:val="ro-MD" w:eastAsia="en-US"/>
              </w:rPr>
            </w:pPr>
            <w:r w:rsidRPr="003B14E9">
              <w:rPr>
                <w:rFonts w:eastAsiaTheme="minorHAnsi"/>
                <w:color w:val="000000"/>
                <w:sz w:val="18"/>
                <w:szCs w:val="18"/>
                <w:lang w:val="ro-MD" w:eastAsia="en-US"/>
              </w:rPr>
              <w:t xml:space="preserve">un exerciţiu financiar (OneBusinessYear) = un an exprimat în zile lucrătoare utilizând convenţia privind zilele lucrătoare relevantă. </w:t>
            </w:r>
          </w:p>
          <w:p w14:paraId="5A1249AF" w14:textId="77777777" w:rsidR="000B234D" w:rsidRPr="003B14E9" w:rsidRDefault="000B234D" w:rsidP="000B234D">
            <w:pPr>
              <w:autoSpaceDE w:val="0"/>
              <w:autoSpaceDN w:val="0"/>
              <w:adjustRightInd w:val="0"/>
              <w:spacing w:before="200" w:after="200"/>
              <w:rPr>
                <w:rFonts w:eastAsiaTheme="minorHAnsi"/>
                <w:color w:val="000000"/>
                <w:sz w:val="18"/>
                <w:szCs w:val="18"/>
                <w:lang w:val="ro-MD" w:eastAsia="en-US"/>
              </w:rPr>
            </w:pPr>
            <w:r w:rsidRPr="003B14E9">
              <w:rPr>
                <w:rFonts w:eastAsiaTheme="minorHAnsi"/>
                <w:color w:val="000000"/>
                <w:sz w:val="18"/>
                <w:szCs w:val="18"/>
                <w:lang w:val="ro-MD" w:eastAsia="en-US"/>
              </w:rPr>
              <w:t xml:space="preserve">Atunci când determină perioada de risc de marjă pentru tranzacţii încheiate între un client și un membru compensator, o instituţie care acţionează în calitate de client sau de membru compensator înlocuiește perioada minimă prevăzută la articolul 285 alineatul (2) litera (b) cu cinci zile lucrătoare. </w:t>
            </w:r>
          </w:p>
          <w:p w14:paraId="6EEBE9F1" w14:textId="0AA1AE25" w:rsidR="000B234D" w:rsidRPr="003B14E9" w:rsidRDefault="000B234D" w:rsidP="000B234D">
            <w:pPr>
              <w:pStyle w:val="CM4"/>
              <w:spacing w:before="60" w:after="60"/>
              <w:rPr>
                <w:rFonts w:ascii="Times New Roman" w:hAnsi="Times New Roman"/>
                <w:i/>
                <w:iCs/>
                <w:color w:val="000000"/>
                <w:sz w:val="20"/>
                <w:szCs w:val="20"/>
              </w:rPr>
            </w:pPr>
            <w:r w:rsidRPr="003B14E9">
              <w:rPr>
                <w:rFonts w:ascii="Times New Roman" w:eastAsiaTheme="minorHAnsi" w:hAnsi="Times New Roman"/>
                <w:color w:val="000000"/>
                <w:sz w:val="18"/>
                <w:szCs w:val="18"/>
                <w:lang w:val="ro-MD"/>
              </w:rPr>
              <w:t xml:space="preserve">(2) În sensul alineatului (1), scadenţa reziduală este egală cu perioada rămasă până la data următoarei revizuiri a </w:t>
            </w:r>
            <w:r w:rsidRPr="003B14E9">
              <w:rPr>
                <w:rFonts w:ascii="Times New Roman" w:eastAsiaTheme="minorHAnsi" w:hAnsi="Times New Roman"/>
                <w:color w:val="000000"/>
                <w:sz w:val="18"/>
                <w:szCs w:val="18"/>
                <w:lang w:val="ro-MD"/>
              </w:rPr>
              <w:lastRenderedPageBreak/>
              <w:t>termenilor tranzacţiilor care sunt structurate astfel încât expunerile rămase să fie decontate după anumite date de plată specificate și ai căror termeni sunt revizuiţi astfel încât valoarea de piaţă a contractului să fie zero la datele specificate respective.</w:t>
            </w:r>
          </w:p>
        </w:tc>
        <w:tc>
          <w:tcPr>
            <w:tcW w:w="4425" w:type="dxa"/>
            <w:shd w:val="clear" w:color="auto" w:fill="auto"/>
          </w:tcPr>
          <w:p w14:paraId="550E1BE5" w14:textId="77777777" w:rsidR="000B234D" w:rsidRPr="003B14E9" w:rsidRDefault="000B234D" w:rsidP="000B234D">
            <w:pPr>
              <w:pStyle w:val="CM4"/>
              <w:spacing w:before="60" w:after="60"/>
              <w:ind w:firstLine="567"/>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 xml:space="preserve">Secțiunea a 10-a </w:t>
            </w:r>
          </w:p>
          <w:p w14:paraId="19510798" w14:textId="77777777" w:rsidR="000B234D" w:rsidRPr="003B14E9" w:rsidRDefault="000B234D" w:rsidP="000B234D">
            <w:pPr>
              <w:pStyle w:val="Default"/>
              <w:ind w:firstLine="567"/>
              <w:jc w:val="center"/>
              <w:rPr>
                <w:rFonts w:ascii="Times New Roman" w:hAnsi="Times New Roman" w:cs="Times New Roman"/>
                <w:b/>
                <w:bCs/>
                <w:sz w:val="18"/>
                <w:szCs w:val="18"/>
              </w:rPr>
            </w:pPr>
            <w:r w:rsidRPr="003B14E9">
              <w:rPr>
                <w:rFonts w:ascii="Times New Roman" w:hAnsi="Times New Roman" w:cs="Times New Roman"/>
                <w:b/>
                <w:bCs/>
                <w:sz w:val="18"/>
                <w:szCs w:val="18"/>
              </w:rPr>
              <w:t>Factorul de ajustare în funcţie de scadenţă</w:t>
            </w:r>
          </w:p>
          <w:p w14:paraId="549D1F2B" w14:textId="77777777" w:rsidR="000B234D" w:rsidRPr="003B14E9" w:rsidRDefault="000B234D" w:rsidP="000B234D">
            <w:pPr>
              <w:pStyle w:val="Default"/>
              <w:rPr>
                <w:rFonts w:ascii="Times New Roman" w:hAnsi="Times New Roman" w:cs="Times New Roman"/>
                <w:sz w:val="18"/>
                <w:szCs w:val="18"/>
              </w:rPr>
            </w:pPr>
            <w:r w:rsidRPr="003B14E9">
              <w:rPr>
                <w:rFonts w:ascii="Times New Roman" w:hAnsi="Times New Roman" w:cs="Times New Roman"/>
                <w:b/>
                <w:bCs/>
                <w:sz w:val="18"/>
                <w:szCs w:val="18"/>
              </w:rPr>
              <w:t>60.</w:t>
            </w:r>
            <w:r w:rsidRPr="003B14E9">
              <w:rPr>
                <w:rFonts w:ascii="Times New Roman" w:hAnsi="Times New Roman" w:cs="Times New Roman"/>
                <w:sz w:val="18"/>
                <w:szCs w:val="18"/>
              </w:rPr>
              <w:t xml:space="preserve"> Pentru tranzacţiile incluse în seturile de compensare menţionate la punctul 38, băncile calculează factorul de ajustare în funcţie de scadenţă după următoarea formulă:</w:t>
            </w:r>
          </w:p>
          <w:p w14:paraId="2AC1A35E" w14:textId="77777777" w:rsidR="000B234D" w:rsidRPr="003B14E9" w:rsidRDefault="000B234D" w:rsidP="000B234D">
            <w:pPr>
              <w:pStyle w:val="Default"/>
              <w:ind w:firstLine="567"/>
              <w:rPr>
                <w:rFonts w:ascii="Times New Roman" w:hAnsi="Times New Roman" w:cs="Times New Roman"/>
                <w:sz w:val="18"/>
                <w:szCs w:val="18"/>
              </w:rPr>
            </w:pPr>
          </w:p>
          <w:p w14:paraId="61A51275" w14:textId="77777777" w:rsidR="000B234D" w:rsidRPr="003B14E9" w:rsidRDefault="000B234D" w:rsidP="000B234D">
            <w:pPr>
              <w:pStyle w:val="Default"/>
              <w:ind w:firstLine="567"/>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A967BAB" wp14:editId="5A1341C3">
                  <wp:extent cx="2014387" cy="200025"/>
                  <wp:effectExtent l="0" t="0" r="5080" b="0"/>
                  <wp:docPr id="1734852907" name="Picture 173485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8122" cy="204368"/>
                          </a:xfrm>
                          <a:prstGeom prst="rect">
                            <a:avLst/>
                          </a:prstGeom>
                          <a:noFill/>
                          <a:ln>
                            <a:noFill/>
                          </a:ln>
                        </pic:spPr>
                      </pic:pic>
                    </a:graphicData>
                  </a:graphic>
                </wp:inline>
              </w:drawing>
            </w:r>
          </w:p>
          <w:p w14:paraId="14C1ED05" w14:textId="77777777" w:rsidR="000B234D" w:rsidRPr="003B14E9" w:rsidRDefault="000B234D" w:rsidP="000B234D">
            <w:pPr>
              <w:autoSpaceDE w:val="0"/>
              <w:autoSpaceDN w:val="0"/>
              <w:adjustRightInd w:val="0"/>
              <w:ind w:firstLine="567"/>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6EAE9C79" w14:textId="77777777" w:rsidR="000B234D" w:rsidRPr="003B14E9" w:rsidRDefault="000B234D" w:rsidP="000B234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MF = factorul de ajustare în funcţie de scadenţă; </w:t>
            </w:r>
          </w:p>
          <w:p w14:paraId="3BB5CEFC"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M = scadenţa reziduală a tranzacţiei care este egală cu perioada de timp necesară pentru încetarea tuturor obligaţiilor contractuale care decurg din tranzacţie; în acest scop, se consideră că orice opţionalitate a unui contract derivat este o obligaţie contractuală; scadenţa reziduală se exprimă în ani, utilizând convenţia privind zilele lucrătoare relevantă; </w:t>
            </w:r>
          </w:p>
          <w:p w14:paraId="48D26B4B"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în care o tranzacţie are ca instrument-suport un alt contract derivat care poate da naștere unor obligaţii contractuale suplimentare faţă de obligaţiile contractuale care decurg din tranzacţie, scadenţa reziduală a tranzacţiei este egală cu perioada de timp necesară pentru încetarea tuturor obligaţiilor contractuale aferente instrumentului- suport; </w:t>
            </w:r>
          </w:p>
          <w:p w14:paraId="4B6AFC9A"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în care o tranzacţie este structurată astfel încât expunerea rămasă de rambursat să fie decontată după anumite date de plată specificate și termenii sunt revizuiţi astfel încât valoarea de piaţă a tranzacţiei să fie zero la datele specificate respective, scadenţa reziduală a tranzacţiei este egală cu perioada rămasă până la data următoarei revizuiri a termenilor; și </w:t>
            </w:r>
          </w:p>
          <w:p w14:paraId="62699069"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un exerciţiu financiar (OneBusinessYear) = un an exprimat în zile lucrătoare utilizând convenţia privind zilele lucrătoare relevantă;</w:t>
            </w:r>
          </w:p>
          <w:p w14:paraId="06D5FEA4" w14:textId="77777777" w:rsidR="000B234D" w:rsidRPr="003B14E9" w:rsidRDefault="000B234D" w:rsidP="000B234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61.</w:t>
            </w:r>
            <w:r w:rsidRPr="003B14E9">
              <w:rPr>
                <w:rFonts w:eastAsiaTheme="minorHAnsi"/>
                <w:color w:val="000000"/>
                <w:sz w:val="18"/>
                <w:szCs w:val="18"/>
                <w:lang w:val="ro-MD" w:eastAsia="en-US"/>
                <w14:ligatures w14:val="standardContextual"/>
              </w:rPr>
              <w:t xml:space="preserve"> În sensul punctului 60, scadenţa reziduală este egală cu perioada rămasă până la data următoarei revizuiri a termenilor tranzacţiilor care sunt structurate astfel încât expunerile rămase să fie decontate după anumite date de plată specificate și ai căror termeni sunt revizuiţi astfel încât valoarea de piaţă a contractului să fie zero la datele specificate respective. </w:t>
            </w:r>
          </w:p>
          <w:p w14:paraId="6B7ABC3B" w14:textId="77777777" w:rsidR="000B234D" w:rsidRPr="003B14E9" w:rsidRDefault="000B234D" w:rsidP="000B234D">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5E942309" w14:textId="2FCEAC3C" w:rsidR="000B234D" w:rsidRPr="003B14E9" w:rsidRDefault="000B234D" w:rsidP="000B234D">
            <w:pPr>
              <w:jc w:val="both"/>
              <w:rPr>
                <w:sz w:val="18"/>
                <w:szCs w:val="18"/>
                <w:lang w:val="ro-MD"/>
              </w:rPr>
            </w:pPr>
            <w:r w:rsidRPr="003B14E9">
              <w:rPr>
                <w:sz w:val="18"/>
                <w:szCs w:val="18"/>
                <w:lang w:val="ro-MD"/>
              </w:rPr>
              <w:lastRenderedPageBreak/>
              <w:t>Parțial compatibil</w:t>
            </w:r>
          </w:p>
        </w:tc>
        <w:tc>
          <w:tcPr>
            <w:tcW w:w="3041" w:type="dxa"/>
          </w:tcPr>
          <w:p w14:paraId="7410F6FE" w14:textId="12B0A78C" w:rsidR="000B234D" w:rsidRPr="003B14E9" w:rsidRDefault="000B234D" w:rsidP="000B234D">
            <w:pPr>
              <w:rPr>
                <w:sz w:val="18"/>
                <w:szCs w:val="18"/>
                <w:highlight w:val="red"/>
                <w:lang w:val="ro-MD"/>
              </w:rPr>
            </w:pPr>
            <w:r w:rsidRPr="003B14E9">
              <w:rPr>
                <w:sz w:val="18"/>
                <w:szCs w:val="18"/>
                <w:lang w:val="ro-MD"/>
              </w:rPr>
              <w:t>Se va transpune în reglementările ce țin de abordarea IRB.</w:t>
            </w:r>
          </w:p>
        </w:tc>
        <w:tc>
          <w:tcPr>
            <w:tcW w:w="1055" w:type="dxa"/>
            <w:tcBorders>
              <w:top w:val="single" w:sz="4" w:space="0" w:color="auto"/>
              <w:bottom w:val="single" w:sz="4" w:space="0" w:color="auto"/>
            </w:tcBorders>
          </w:tcPr>
          <w:p w14:paraId="49E06F99" w14:textId="4A16A200" w:rsidR="000B234D" w:rsidRPr="003B14E9" w:rsidRDefault="000B234D" w:rsidP="000B234D">
            <w:pPr>
              <w:jc w:val="both"/>
              <w:rPr>
                <w:sz w:val="18"/>
                <w:szCs w:val="18"/>
                <w:lang w:val="ro-MD"/>
              </w:rPr>
            </w:pPr>
          </w:p>
        </w:tc>
        <w:tc>
          <w:tcPr>
            <w:tcW w:w="1330" w:type="dxa"/>
            <w:tcBorders>
              <w:bottom w:val="single" w:sz="4" w:space="0" w:color="auto"/>
            </w:tcBorders>
          </w:tcPr>
          <w:p w14:paraId="42262E34" w14:textId="77777777" w:rsidR="000B234D" w:rsidRPr="003B14E9" w:rsidRDefault="000B234D" w:rsidP="000B234D">
            <w:pPr>
              <w:jc w:val="both"/>
              <w:rPr>
                <w:sz w:val="18"/>
                <w:szCs w:val="18"/>
                <w:lang w:val="ro-MD"/>
              </w:rPr>
            </w:pPr>
          </w:p>
        </w:tc>
      </w:tr>
      <w:tr w:rsidR="00DE4E20" w:rsidRPr="003B14E9" w14:paraId="5F0EB5A2" w14:textId="77777777" w:rsidTr="00604EF1">
        <w:trPr>
          <w:trHeight w:val="918"/>
        </w:trPr>
        <w:tc>
          <w:tcPr>
            <w:tcW w:w="4473" w:type="dxa"/>
          </w:tcPr>
          <w:p w14:paraId="5CCE43DC" w14:textId="30F9F8C5"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lastRenderedPageBreak/>
              <w:t>Articolul 280</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Coeficientul factorului impus de autorităţile de supraveghere aferent setului de acoperire a riscului</w:t>
            </w:r>
          </w:p>
          <w:p w14:paraId="700E2D7B"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Pentru calcularea majorării aferente unui set de acoperire a riscului, astfel cum este menţionată la articolele 280a-280f, coeficientul factorului impus de autorităţile de supraveghere aferent setului de acoperire a riscului „є” este următorul: </w:t>
            </w:r>
          </w:p>
          <w:tbl>
            <w:tblPr>
              <w:tblStyle w:val="TableGrid"/>
              <w:tblW w:w="4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
              <w:gridCol w:w="382"/>
              <w:gridCol w:w="3606"/>
            </w:tblGrid>
            <w:tr w:rsidR="00DE4E20" w:rsidRPr="003B14E9" w14:paraId="03AAE498" w14:textId="77777777" w:rsidTr="00B11411">
              <w:trPr>
                <w:trHeight w:val="413"/>
              </w:trPr>
              <w:tc>
                <w:tcPr>
                  <w:tcW w:w="240" w:type="dxa"/>
                  <w:vMerge w:val="restart"/>
                </w:tcPr>
                <w:p w14:paraId="6AF3AA5D" w14:textId="77777777" w:rsidR="00DE4E20" w:rsidRPr="003B14E9" w:rsidRDefault="00DE4E20" w:rsidP="00DE4E20">
                  <w:pPr>
                    <w:pStyle w:val="CM4"/>
                    <w:spacing w:before="60" w:after="60"/>
                    <w:rPr>
                      <w:rFonts w:ascii="Times New Roman" w:hAnsi="Times New Roman"/>
                      <w:color w:val="000000"/>
                      <w:sz w:val="18"/>
                      <w:szCs w:val="18"/>
                    </w:rPr>
                  </w:pPr>
                </w:p>
                <w:p w14:paraId="20DB942B" w14:textId="77777777" w:rsidR="00DE4E20" w:rsidRPr="003B14E9" w:rsidRDefault="00DE4E20" w:rsidP="00DE4E20">
                  <w:pPr>
                    <w:pStyle w:val="Default"/>
                    <w:rPr>
                      <w:rFonts w:ascii="Times New Roman" w:hAnsi="Times New Roman" w:cs="Times New Roman"/>
                      <w:sz w:val="18"/>
                      <w:szCs w:val="18"/>
                    </w:rPr>
                  </w:pPr>
                </w:p>
                <w:p w14:paraId="22CFFC21"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є =</w:t>
                  </w:r>
                </w:p>
              </w:tc>
              <w:tc>
                <w:tcPr>
                  <w:tcW w:w="382" w:type="dxa"/>
                  <w:vMerge w:val="restart"/>
                </w:tcPr>
                <w:p w14:paraId="200854E8"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w:t>
                  </w:r>
                </w:p>
              </w:tc>
              <w:tc>
                <w:tcPr>
                  <w:tcW w:w="3606" w:type="dxa"/>
                </w:tcPr>
                <w:p w14:paraId="7AAE16BA"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1 pentru seturile de acoperire a riscurilor stabilite în conformitate cu articolul 277a alin. (1)</w:t>
                  </w:r>
                </w:p>
              </w:tc>
            </w:tr>
            <w:tr w:rsidR="00DE4E20" w:rsidRPr="003B14E9" w14:paraId="6B933654" w14:textId="77777777" w:rsidTr="00B11411">
              <w:trPr>
                <w:trHeight w:val="182"/>
              </w:trPr>
              <w:tc>
                <w:tcPr>
                  <w:tcW w:w="240" w:type="dxa"/>
                  <w:vMerge/>
                </w:tcPr>
                <w:p w14:paraId="4E105AFB" w14:textId="77777777" w:rsidR="00DE4E20" w:rsidRPr="003B14E9" w:rsidRDefault="00DE4E20" w:rsidP="00DE4E20">
                  <w:pPr>
                    <w:pStyle w:val="CM4"/>
                    <w:spacing w:before="60" w:after="60"/>
                    <w:rPr>
                      <w:rFonts w:ascii="Times New Roman" w:hAnsi="Times New Roman"/>
                      <w:color w:val="000000"/>
                      <w:sz w:val="18"/>
                      <w:szCs w:val="18"/>
                    </w:rPr>
                  </w:pPr>
                </w:p>
              </w:tc>
              <w:tc>
                <w:tcPr>
                  <w:tcW w:w="382" w:type="dxa"/>
                  <w:vMerge/>
                </w:tcPr>
                <w:p w14:paraId="647F3F20" w14:textId="77777777" w:rsidR="00DE4E20" w:rsidRPr="003B14E9" w:rsidRDefault="00DE4E20" w:rsidP="00DE4E20">
                  <w:pPr>
                    <w:pStyle w:val="CM4"/>
                    <w:spacing w:before="60" w:after="60"/>
                    <w:rPr>
                      <w:rFonts w:ascii="Times New Roman" w:hAnsi="Times New Roman"/>
                      <w:color w:val="000000"/>
                      <w:sz w:val="18"/>
                      <w:szCs w:val="18"/>
                    </w:rPr>
                  </w:pPr>
                </w:p>
              </w:tc>
              <w:tc>
                <w:tcPr>
                  <w:tcW w:w="3606" w:type="dxa"/>
                </w:tcPr>
                <w:p w14:paraId="00A596B4"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5 pentru seturile de acoperire a riscurilor stabilite în conformitate cu articolul 277a alin. (2) litera (a)</w:t>
                  </w:r>
                </w:p>
              </w:tc>
            </w:tr>
            <w:tr w:rsidR="00DE4E20" w:rsidRPr="003B14E9" w14:paraId="7F3C7472" w14:textId="77777777" w:rsidTr="00B11411">
              <w:trPr>
                <w:trHeight w:val="182"/>
              </w:trPr>
              <w:tc>
                <w:tcPr>
                  <w:tcW w:w="240" w:type="dxa"/>
                  <w:vMerge/>
                </w:tcPr>
                <w:p w14:paraId="0998248A" w14:textId="77777777" w:rsidR="00DE4E20" w:rsidRPr="003B14E9" w:rsidRDefault="00DE4E20" w:rsidP="00DE4E20">
                  <w:pPr>
                    <w:pStyle w:val="CM4"/>
                    <w:spacing w:before="60" w:after="60"/>
                    <w:rPr>
                      <w:rFonts w:ascii="Times New Roman" w:hAnsi="Times New Roman"/>
                      <w:color w:val="000000"/>
                      <w:sz w:val="18"/>
                      <w:szCs w:val="18"/>
                    </w:rPr>
                  </w:pPr>
                </w:p>
              </w:tc>
              <w:tc>
                <w:tcPr>
                  <w:tcW w:w="382" w:type="dxa"/>
                  <w:vMerge/>
                </w:tcPr>
                <w:p w14:paraId="2CBE7011" w14:textId="77777777" w:rsidR="00DE4E20" w:rsidRPr="003B14E9" w:rsidRDefault="00DE4E20" w:rsidP="00DE4E20">
                  <w:pPr>
                    <w:pStyle w:val="CM4"/>
                    <w:spacing w:before="60" w:after="60"/>
                    <w:rPr>
                      <w:rFonts w:ascii="Times New Roman" w:hAnsi="Times New Roman"/>
                      <w:color w:val="000000"/>
                      <w:sz w:val="18"/>
                      <w:szCs w:val="18"/>
                    </w:rPr>
                  </w:pPr>
                </w:p>
              </w:tc>
              <w:tc>
                <w:tcPr>
                  <w:tcW w:w="3606" w:type="dxa"/>
                </w:tcPr>
                <w:p w14:paraId="20DDFCEB"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0,5 pentru seturile de acoperire a riscurilor stabilite în conformitate cu articolul 277a alin. (2) litera (b)</w:t>
                  </w:r>
                </w:p>
              </w:tc>
            </w:tr>
          </w:tbl>
          <w:p w14:paraId="7FDC0C74" w14:textId="77777777" w:rsidR="00DE4E20" w:rsidRPr="003B14E9" w:rsidRDefault="00DE4E20" w:rsidP="00DE4E20">
            <w:pPr>
              <w:pStyle w:val="CM4"/>
              <w:spacing w:before="60" w:after="60"/>
              <w:rPr>
                <w:rFonts w:ascii="Times New Roman" w:hAnsi="Times New Roman"/>
                <w:i/>
                <w:iCs/>
                <w:color w:val="000000"/>
                <w:sz w:val="20"/>
                <w:szCs w:val="20"/>
              </w:rPr>
            </w:pPr>
          </w:p>
        </w:tc>
        <w:tc>
          <w:tcPr>
            <w:tcW w:w="4425" w:type="dxa"/>
            <w:shd w:val="clear" w:color="auto" w:fill="auto"/>
          </w:tcPr>
          <w:p w14:paraId="4D4C38A4" w14:textId="77777777" w:rsidR="00DE4E20" w:rsidRPr="003B14E9" w:rsidRDefault="00DE4E20" w:rsidP="00DE4E20">
            <w:pPr>
              <w:pStyle w:val="CM4"/>
              <w:spacing w:before="60" w:after="60"/>
              <w:ind w:firstLine="567"/>
              <w:jc w:val="center"/>
              <w:rPr>
                <w:rFonts w:ascii="Times New Roman" w:hAnsi="Times New Roman"/>
                <w:i/>
                <w:iCs/>
                <w:color w:val="000000"/>
                <w:sz w:val="18"/>
                <w:szCs w:val="18"/>
              </w:rPr>
            </w:pPr>
            <w:r w:rsidRPr="003B14E9">
              <w:rPr>
                <w:rFonts w:ascii="Times New Roman" w:hAnsi="Times New Roman"/>
                <w:i/>
                <w:iCs/>
                <w:color w:val="000000"/>
                <w:sz w:val="18"/>
                <w:szCs w:val="18"/>
              </w:rPr>
              <w:t>Secțiunea a 11-a</w:t>
            </w:r>
          </w:p>
          <w:p w14:paraId="0025D5E8" w14:textId="77777777" w:rsidR="00DE4E20" w:rsidRPr="003B14E9" w:rsidRDefault="00DE4E20" w:rsidP="00DE4E20">
            <w:pPr>
              <w:pStyle w:val="Default"/>
              <w:ind w:firstLine="567"/>
              <w:jc w:val="center"/>
              <w:rPr>
                <w:rFonts w:ascii="Times New Roman" w:hAnsi="Times New Roman" w:cs="Times New Roman"/>
                <w:b/>
                <w:bCs/>
                <w:sz w:val="18"/>
                <w:szCs w:val="18"/>
              </w:rPr>
            </w:pPr>
            <w:r w:rsidRPr="003B14E9">
              <w:rPr>
                <w:rFonts w:ascii="Times New Roman" w:hAnsi="Times New Roman" w:cs="Times New Roman"/>
                <w:b/>
                <w:bCs/>
                <w:sz w:val="18"/>
                <w:szCs w:val="18"/>
              </w:rPr>
              <w:t>Coeficientul factorului impus de Banca Națională a Moldovei aferent setului de acoperire a riscului</w:t>
            </w:r>
          </w:p>
          <w:p w14:paraId="468BCF17" w14:textId="77777777" w:rsidR="00DE4E20" w:rsidRPr="003B14E9" w:rsidRDefault="00DE4E20" w:rsidP="00DE4E20">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62.</w:t>
            </w:r>
            <w:r w:rsidRPr="003B14E9">
              <w:rPr>
                <w:rFonts w:ascii="Times New Roman" w:hAnsi="Times New Roman" w:cs="Times New Roman"/>
                <w:sz w:val="18"/>
                <w:szCs w:val="18"/>
              </w:rPr>
              <w:t xml:space="preserve"> Pentru calcularea majorării aferente unui set de acoperire a riscului, astfel cum este menţionată la punctele 63-83, coeficientul factorului impus de Banca Națională a Moldovei aferent setului de acoperire a riscului „є” este următorul: </w:t>
            </w:r>
          </w:p>
          <w:tbl>
            <w:tblPr>
              <w:tblStyle w:val="TableGrid"/>
              <w:tblW w:w="5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
              <w:gridCol w:w="477"/>
              <w:gridCol w:w="4455"/>
            </w:tblGrid>
            <w:tr w:rsidR="00DE4E20" w:rsidRPr="003B14E9" w14:paraId="578F861D" w14:textId="77777777" w:rsidTr="00B11411">
              <w:trPr>
                <w:trHeight w:val="445"/>
              </w:trPr>
              <w:tc>
                <w:tcPr>
                  <w:tcW w:w="398" w:type="dxa"/>
                  <w:vMerge w:val="restart"/>
                </w:tcPr>
                <w:p w14:paraId="7C948CD4" w14:textId="77777777" w:rsidR="00DE4E20" w:rsidRPr="003B14E9" w:rsidRDefault="00DE4E20" w:rsidP="00DE4E20">
                  <w:pPr>
                    <w:pStyle w:val="CM4"/>
                    <w:spacing w:before="60" w:after="60"/>
                    <w:rPr>
                      <w:rFonts w:ascii="Times New Roman" w:hAnsi="Times New Roman"/>
                      <w:color w:val="000000"/>
                      <w:sz w:val="18"/>
                      <w:szCs w:val="18"/>
                    </w:rPr>
                  </w:pPr>
                </w:p>
                <w:p w14:paraId="69EBA9AF" w14:textId="77777777" w:rsidR="00DE4E20" w:rsidRPr="003B14E9" w:rsidRDefault="00DE4E20" w:rsidP="00DE4E20">
                  <w:pPr>
                    <w:pStyle w:val="Default"/>
                    <w:rPr>
                      <w:rFonts w:ascii="Times New Roman" w:hAnsi="Times New Roman" w:cs="Times New Roman"/>
                      <w:sz w:val="18"/>
                      <w:szCs w:val="18"/>
                    </w:rPr>
                  </w:pPr>
                </w:p>
                <w:p w14:paraId="10D98468"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є =</w:t>
                  </w:r>
                </w:p>
              </w:tc>
              <w:tc>
                <w:tcPr>
                  <w:tcW w:w="477" w:type="dxa"/>
                  <w:vMerge w:val="restart"/>
                </w:tcPr>
                <w:p w14:paraId="03B9377E"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w:t>
                  </w:r>
                </w:p>
              </w:tc>
              <w:tc>
                <w:tcPr>
                  <w:tcW w:w="4455" w:type="dxa"/>
                </w:tcPr>
                <w:p w14:paraId="7392889B"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1 pentru seturile de acoperire a riscurilor stabilite în conformitate cu punctul 48</w:t>
                  </w:r>
                </w:p>
              </w:tc>
            </w:tr>
            <w:tr w:rsidR="00DE4E20" w:rsidRPr="003B14E9" w14:paraId="70BBD7CC" w14:textId="77777777" w:rsidTr="00B11411">
              <w:trPr>
                <w:trHeight w:val="196"/>
              </w:trPr>
              <w:tc>
                <w:tcPr>
                  <w:tcW w:w="398" w:type="dxa"/>
                  <w:vMerge/>
                </w:tcPr>
                <w:p w14:paraId="3818DE47" w14:textId="77777777" w:rsidR="00DE4E20" w:rsidRPr="003B14E9" w:rsidRDefault="00DE4E20" w:rsidP="00DE4E20">
                  <w:pPr>
                    <w:pStyle w:val="CM4"/>
                    <w:spacing w:before="60" w:after="60"/>
                    <w:rPr>
                      <w:rFonts w:ascii="Times New Roman" w:hAnsi="Times New Roman"/>
                      <w:color w:val="000000"/>
                      <w:sz w:val="18"/>
                      <w:szCs w:val="18"/>
                    </w:rPr>
                  </w:pPr>
                </w:p>
              </w:tc>
              <w:tc>
                <w:tcPr>
                  <w:tcW w:w="477" w:type="dxa"/>
                  <w:vMerge/>
                </w:tcPr>
                <w:p w14:paraId="2D14182B" w14:textId="77777777" w:rsidR="00DE4E20" w:rsidRPr="003B14E9" w:rsidRDefault="00DE4E20" w:rsidP="00DE4E20">
                  <w:pPr>
                    <w:pStyle w:val="CM4"/>
                    <w:spacing w:before="60" w:after="60"/>
                    <w:rPr>
                      <w:rFonts w:ascii="Times New Roman" w:hAnsi="Times New Roman"/>
                      <w:color w:val="000000"/>
                      <w:sz w:val="18"/>
                      <w:szCs w:val="18"/>
                    </w:rPr>
                  </w:pPr>
                </w:p>
              </w:tc>
              <w:tc>
                <w:tcPr>
                  <w:tcW w:w="4455" w:type="dxa"/>
                </w:tcPr>
                <w:p w14:paraId="76F0034F"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5 pentru seturile de acoperire a riscurilor stabilite în conformitate cu punctul 49 subpunctul 1)</w:t>
                  </w:r>
                </w:p>
              </w:tc>
            </w:tr>
            <w:tr w:rsidR="00DE4E20" w:rsidRPr="003B14E9" w14:paraId="69CA9531" w14:textId="77777777" w:rsidTr="00B11411">
              <w:trPr>
                <w:trHeight w:val="196"/>
              </w:trPr>
              <w:tc>
                <w:tcPr>
                  <w:tcW w:w="398" w:type="dxa"/>
                  <w:vMerge/>
                </w:tcPr>
                <w:p w14:paraId="71528EBD" w14:textId="77777777" w:rsidR="00DE4E20" w:rsidRPr="003B14E9" w:rsidRDefault="00DE4E20" w:rsidP="00DE4E20">
                  <w:pPr>
                    <w:pStyle w:val="CM4"/>
                    <w:spacing w:before="60" w:after="60"/>
                    <w:rPr>
                      <w:rFonts w:ascii="Times New Roman" w:hAnsi="Times New Roman"/>
                      <w:color w:val="000000"/>
                      <w:sz w:val="18"/>
                      <w:szCs w:val="18"/>
                    </w:rPr>
                  </w:pPr>
                </w:p>
              </w:tc>
              <w:tc>
                <w:tcPr>
                  <w:tcW w:w="477" w:type="dxa"/>
                  <w:vMerge/>
                </w:tcPr>
                <w:p w14:paraId="073ADC94" w14:textId="77777777" w:rsidR="00DE4E20" w:rsidRPr="003B14E9" w:rsidRDefault="00DE4E20" w:rsidP="00DE4E20">
                  <w:pPr>
                    <w:pStyle w:val="CM4"/>
                    <w:spacing w:before="60" w:after="60"/>
                    <w:rPr>
                      <w:rFonts w:ascii="Times New Roman" w:hAnsi="Times New Roman"/>
                      <w:color w:val="000000"/>
                      <w:sz w:val="18"/>
                      <w:szCs w:val="18"/>
                    </w:rPr>
                  </w:pPr>
                </w:p>
              </w:tc>
              <w:tc>
                <w:tcPr>
                  <w:tcW w:w="4455" w:type="dxa"/>
                </w:tcPr>
                <w:p w14:paraId="782CCD3D" w14:textId="77777777" w:rsidR="00DE4E20" w:rsidRPr="003B14E9" w:rsidRDefault="00DE4E20" w:rsidP="00DE4E20">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0,5 pentru seturile de acoperire a riscurilor stabilite în conformitate cu punctul 49 subpunctul 2)</w:t>
                  </w:r>
                </w:p>
              </w:tc>
            </w:tr>
          </w:tbl>
          <w:p w14:paraId="1BCA78B5" w14:textId="77777777" w:rsidR="00DE4E20" w:rsidRPr="003B14E9" w:rsidRDefault="00DE4E20" w:rsidP="00DE4E20">
            <w:pPr>
              <w:pStyle w:val="Default"/>
              <w:ind w:firstLine="567"/>
              <w:jc w:val="both"/>
              <w:rPr>
                <w:rFonts w:ascii="Times New Roman" w:hAnsi="Times New Roman" w:cs="Times New Roman"/>
                <w:sz w:val="18"/>
                <w:szCs w:val="18"/>
              </w:rPr>
            </w:pPr>
          </w:p>
          <w:p w14:paraId="41856D8D" w14:textId="77777777" w:rsidR="00DE4E20" w:rsidRPr="003B14E9" w:rsidRDefault="00DE4E20" w:rsidP="00DE4E20">
            <w:pPr>
              <w:pStyle w:val="Default"/>
              <w:ind w:firstLine="567"/>
              <w:jc w:val="both"/>
              <w:rPr>
                <w:rFonts w:ascii="Times New Roman" w:hAnsi="Times New Roman" w:cs="Times New Roman"/>
                <w:sz w:val="18"/>
                <w:szCs w:val="18"/>
              </w:rPr>
            </w:pPr>
          </w:p>
          <w:p w14:paraId="36C8A419" w14:textId="77777777" w:rsidR="00DE4E20" w:rsidRPr="003B14E9" w:rsidRDefault="00DE4E20" w:rsidP="00DE4E20">
            <w:pPr>
              <w:tabs>
                <w:tab w:val="left" w:pos="851"/>
              </w:tabs>
              <w:ind w:firstLine="426"/>
              <w:jc w:val="both"/>
              <w:rPr>
                <w:iCs/>
                <w:color w:val="FF0000"/>
                <w:sz w:val="18"/>
                <w:szCs w:val="18"/>
                <w:lang w:val="ro-MD"/>
              </w:rPr>
            </w:pPr>
          </w:p>
          <w:p w14:paraId="37D6B4E7" w14:textId="77777777" w:rsidR="00DE4E20" w:rsidRPr="003B14E9" w:rsidRDefault="00DE4E20" w:rsidP="00DE4E20">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42E6D803" w14:textId="4A4C1FCF" w:rsidR="00DE4E20" w:rsidRPr="003B14E9" w:rsidRDefault="00DE4E20" w:rsidP="00DE4E20">
            <w:pPr>
              <w:jc w:val="both"/>
              <w:rPr>
                <w:sz w:val="18"/>
                <w:szCs w:val="18"/>
                <w:lang w:val="ro-MD"/>
              </w:rPr>
            </w:pPr>
            <w:r w:rsidRPr="003B14E9">
              <w:rPr>
                <w:sz w:val="18"/>
                <w:szCs w:val="18"/>
                <w:lang w:val="ro-MD"/>
              </w:rPr>
              <w:t>Compatibil</w:t>
            </w:r>
          </w:p>
        </w:tc>
        <w:tc>
          <w:tcPr>
            <w:tcW w:w="3041" w:type="dxa"/>
          </w:tcPr>
          <w:p w14:paraId="2CF9B99E" w14:textId="77777777" w:rsidR="00DE4E20" w:rsidRPr="003B14E9" w:rsidRDefault="00DE4E20" w:rsidP="00DE4E20">
            <w:pPr>
              <w:rPr>
                <w:sz w:val="18"/>
                <w:szCs w:val="18"/>
                <w:highlight w:val="red"/>
                <w:lang w:val="ro-MD"/>
              </w:rPr>
            </w:pPr>
          </w:p>
        </w:tc>
        <w:tc>
          <w:tcPr>
            <w:tcW w:w="1055" w:type="dxa"/>
            <w:tcBorders>
              <w:top w:val="single" w:sz="4" w:space="0" w:color="auto"/>
              <w:bottom w:val="single" w:sz="4" w:space="0" w:color="auto"/>
            </w:tcBorders>
          </w:tcPr>
          <w:p w14:paraId="0352A3AA" w14:textId="77777777" w:rsidR="00DE4E20" w:rsidRPr="003B14E9" w:rsidRDefault="00DE4E20" w:rsidP="00DE4E20">
            <w:pPr>
              <w:jc w:val="both"/>
              <w:rPr>
                <w:sz w:val="18"/>
                <w:szCs w:val="18"/>
                <w:lang w:val="ro-MD"/>
              </w:rPr>
            </w:pPr>
          </w:p>
        </w:tc>
        <w:tc>
          <w:tcPr>
            <w:tcW w:w="1330" w:type="dxa"/>
            <w:tcBorders>
              <w:bottom w:val="single" w:sz="4" w:space="0" w:color="auto"/>
            </w:tcBorders>
          </w:tcPr>
          <w:p w14:paraId="145D6C41" w14:textId="77777777" w:rsidR="00DE4E20" w:rsidRPr="003B14E9" w:rsidRDefault="00DE4E20" w:rsidP="00DE4E20">
            <w:pPr>
              <w:jc w:val="both"/>
              <w:rPr>
                <w:sz w:val="18"/>
                <w:szCs w:val="18"/>
                <w:lang w:val="ro-MD"/>
              </w:rPr>
            </w:pPr>
          </w:p>
        </w:tc>
      </w:tr>
      <w:tr w:rsidR="003343BA" w:rsidRPr="003B14E9" w14:paraId="0E6AF579" w14:textId="77777777" w:rsidTr="00604EF1">
        <w:trPr>
          <w:trHeight w:val="918"/>
        </w:trPr>
        <w:tc>
          <w:tcPr>
            <w:tcW w:w="4473" w:type="dxa"/>
          </w:tcPr>
          <w:p w14:paraId="597176AF" w14:textId="479874C3"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t>Articolul 280a</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Majorarea pentru categoria de risc de rată a dobânzii</w:t>
            </w:r>
          </w:p>
          <w:p w14:paraId="70E3045E"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În sensul articolului 278, instituţiile calculează majorarea aferentă categoriei de risc de rată a dobânzii pentru un anumit set de compensare după cum urmează: </w:t>
            </w:r>
          </w:p>
          <w:p w14:paraId="502B8076" w14:textId="77777777" w:rsidR="003343BA" w:rsidRPr="003B14E9" w:rsidRDefault="003343BA" w:rsidP="003343BA">
            <w:pPr>
              <w:pStyle w:val="CM4"/>
              <w:spacing w:before="60" w:after="60"/>
              <w:jc w:val="center"/>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64C9E9F3" wp14:editId="3120EA51">
                  <wp:extent cx="1164566" cy="266662"/>
                  <wp:effectExtent l="0" t="0" r="0" b="635"/>
                  <wp:docPr id="1117064834"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2561" cy="273072"/>
                          </a:xfrm>
                          <a:prstGeom prst="rect">
                            <a:avLst/>
                          </a:prstGeom>
                          <a:noFill/>
                          <a:ln>
                            <a:noFill/>
                          </a:ln>
                        </pic:spPr>
                      </pic:pic>
                    </a:graphicData>
                  </a:graphic>
                </wp:inline>
              </w:drawing>
            </w:r>
          </w:p>
          <w:p w14:paraId="2FEC0184"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0C02E5D8"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w:t>
            </w:r>
            <w:r w:rsidRPr="003B14E9">
              <w:rPr>
                <w:rFonts w:ascii="Times New Roman" w:hAnsi="Times New Roman"/>
                <w:color w:val="000000"/>
                <w:sz w:val="18"/>
                <w:szCs w:val="18"/>
                <w:vertAlign w:val="superscript"/>
              </w:rPr>
              <w:t>IR</w:t>
            </w:r>
            <w:r w:rsidRPr="003B14E9">
              <w:rPr>
                <w:rFonts w:ascii="Times New Roman" w:hAnsi="Times New Roman"/>
                <w:color w:val="000000"/>
                <w:sz w:val="18"/>
                <w:szCs w:val="18"/>
              </w:rPr>
              <w:t xml:space="preserve"> = majorarea categoriei de risc de rată a dobânzii; </w:t>
            </w:r>
          </w:p>
          <w:p w14:paraId="66384E7B"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j = indicele care desemnează toate seturile de acoperire a riscului de rată a dobânzii stabilite în conformitate cu articolul 277a alineatul (1) litera (a) și cu articolul 277a alineatul (2) pentru setul de compensare; și </w:t>
            </w:r>
          </w:p>
          <w:p w14:paraId="1927BBAC"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56C9F380" wp14:editId="1C8F59AE">
                  <wp:extent cx="508959" cy="201663"/>
                  <wp:effectExtent l="0" t="0" r="5715" b="8255"/>
                  <wp:docPr id="14714197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506" cy="208616"/>
                          </a:xfrm>
                          <a:prstGeom prst="rect">
                            <a:avLst/>
                          </a:prstGeom>
                          <a:noFill/>
                        </pic:spPr>
                      </pic:pic>
                    </a:graphicData>
                  </a:graphic>
                </wp:inline>
              </w:drawing>
            </w:r>
            <w:r w:rsidRPr="003B14E9">
              <w:rPr>
                <w:rFonts w:ascii="Times New Roman" w:hAnsi="Times New Roman"/>
                <w:color w:val="000000"/>
                <w:sz w:val="18"/>
                <w:szCs w:val="18"/>
              </w:rPr>
              <w:t xml:space="preserve">= majorarea categoriei de risc de rată a dobânzii pentru setul de acoperire a riscului j calculat în conformitate cu alineatul (2). </w:t>
            </w:r>
          </w:p>
          <w:p w14:paraId="24577A0C"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Instituţiile calculează majorarea pentru setul de acoperire a riscului j aferentă categoriei de risc de rată a dobânzii astfel: </w:t>
            </w:r>
          </w:p>
          <w:p w14:paraId="4AF1D98D"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2703C6E" wp14:editId="66CB2818">
                  <wp:extent cx="1794295" cy="242625"/>
                  <wp:effectExtent l="0" t="0" r="0" b="5080"/>
                  <wp:docPr id="19199200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8831" cy="245943"/>
                          </a:xfrm>
                          <a:prstGeom prst="rect">
                            <a:avLst/>
                          </a:prstGeom>
                          <a:noFill/>
                        </pic:spPr>
                      </pic:pic>
                    </a:graphicData>
                  </a:graphic>
                </wp:inline>
              </w:drawing>
            </w:r>
          </w:p>
          <w:p w14:paraId="3B33E318"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09BE6A3"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є j = coeficientul factorului impus de autorităţile de supraveghere aferent setului de acoperire a riscului pentru setul de acoperire a riscului j determinat în conformitate cu valoarea aplicabilă specificată la articolul 280; </w:t>
            </w:r>
          </w:p>
          <w:p w14:paraId="07EBC9AB"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SF</w:t>
            </w:r>
            <w:r w:rsidRPr="003B14E9">
              <w:rPr>
                <w:rFonts w:ascii="Times New Roman" w:hAnsi="Times New Roman"/>
                <w:color w:val="000000"/>
                <w:sz w:val="18"/>
                <w:szCs w:val="18"/>
                <w:vertAlign w:val="superscript"/>
              </w:rPr>
              <w:t>IR</w:t>
            </w:r>
            <w:r w:rsidRPr="003B14E9">
              <w:rPr>
                <w:rFonts w:ascii="Times New Roman" w:hAnsi="Times New Roman"/>
                <w:color w:val="000000"/>
                <w:sz w:val="18"/>
                <w:szCs w:val="18"/>
              </w:rPr>
              <w:t xml:space="preserve"> = factorul impus de autorităţile de supraveghere pentru categoria de risc de rată a dobânzii cu o valoare egală cu 0,5 %; și </w:t>
            </w:r>
          </w:p>
          <w:p w14:paraId="7BA45F69"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1ACDFC49" wp14:editId="6B542EA5">
                  <wp:extent cx="494894" cy="207034"/>
                  <wp:effectExtent l="0" t="0" r="635" b="2540"/>
                  <wp:docPr id="12702480"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3570" cy="214847"/>
                          </a:xfrm>
                          <a:prstGeom prst="rect">
                            <a:avLst/>
                          </a:prstGeom>
                          <a:noFill/>
                          <a:ln>
                            <a:noFill/>
                          </a:ln>
                        </pic:spPr>
                      </pic:pic>
                    </a:graphicData>
                  </a:graphic>
                </wp:inline>
              </w:drawing>
            </w:r>
            <w:r w:rsidRPr="003B14E9">
              <w:rPr>
                <w:rFonts w:ascii="Times New Roman" w:hAnsi="Times New Roman"/>
                <w:color w:val="000000"/>
                <w:sz w:val="18"/>
                <w:szCs w:val="18"/>
              </w:rPr>
              <w:t xml:space="preserve"> = valoarea noţională efectivă a setului de acoperire a riscului j calculată în conformitate cu alineatul (3). </w:t>
            </w:r>
          </w:p>
          <w:p w14:paraId="6BED4B7C"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(3) Pentru a calcula valoarea noţională efectivă a setului de acoperire a riscului j, instituţiile încadrează mai întâi fiecare tranzacţie din setul de acoperire a riscului în banda corespunzătoare din tabelul 2. Instituţiile fac acest lucru pe baza datei de încetare a fiecărei tranzacţii, determinată în conformitate cu articolul 279b alineatul (1) litera (a): </w:t>
            </w:r>
          </w:p>
          <w:p w14:paraId="447CD93B" w14:textId="658070CD" w:rsidR="003343BA" w:rsidRPr="003B14E9" w:rsidRDefault="003343BA" w:rsidP="00AC2607">
            <w:pPr>
              <w:pStyle w:val="CM4"/>
              <w:spacing w:before="60" w:after="60"/>
              <w:jc w:val="right"/>
              <w:rPr>
                <w:rFonts w:ascii="Times New Roman" w:hAnsi="Times New Roman"/>
                <w:i/>
                <w:iCs/>
                <w:color w:val="000000"/>
                <w:sz w:val="18"/>
                <w:szCs w:val="18"/>
              </w:rPr>
            </w:pPr>
            <w:r w:rsidRPr="003B14E9">
              <w:rPr>
                <w:rFonts w:ascii="Times New Roman" w:hAnsi="Times New Roman"/>
                <w:i/>
                <w:iCs/>
                <w:color w:val="000000"/>
                <w:sz w:val="18"/>
                <w:szCs w:val="18"/>
              </w:rPr>
              <w:t xml:space="preserve">          Tabelul 2</w:t>
            </w:r>
          </w:p>
          <w:tbl>
            <w:tblPr>
              <w:tblStyle w:val="TableGrid"/>
              <w:tblW w:w="4025" w:type="dxa"/>
              <w:tblLayout w:type="fixed"/>
              <w:tblLook w:val="04A0" w:firstRow="1" w:lastRow="0" w:firstColumn="1" w:lastColumn="0" w:noHBand="0" w:noVBand="1"/>
            </w:tblPr>
            <w:tblGrid>
              <w:gridCol w:w="1152"/>
              <w:gridCol w:w="2873"/>
            </w:tblGrid>
            <w:tr w:rsidR="003343BA" w:rsidRPr="003B14E9" w14:paraId="1BD94750" w14:textId="77777777" w:rsidTr="00B11411">
              <w:trPr>
                <w:trHeight w:val="283"/>
              </w:trPr>
              <w:tc>
                <w:tcPr>
                  <w:tcW w:w="1152" w:type="dxa"/>
                </w:tcPr>
                <w:p w14:paraId="04A674D1"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Banda</w:t>
                  </w:r>
                </w:p>
              </w:tc>
              <w:tc>
                <w:tcPr>
                  <w:tcW w:w="2873" w:type="dxa"/>
                </w:tcPr>
                <w:p w14:paraId="00DC3B3D" w14:textId="77777777" w:rsidR="003343BA" w:rsidRPr="003B14E9" w:rsidRDefault="003343BA" w:rsidP="003343BA">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Data de încetare (în ani)</w:t>
                  </w:r>
                </w:p>
              </w:tc>
            </w:tr>
            <w:tr w:rsidR="003343BA" w:rsidRPr="003B14E9" w14:paraId="1C5C02CC" w14:textId="77777777" w:rsidTr="00B11411">
              <w:trPr>
                <w:trHeight w:val="301"/>
              </w:trPr>
              <w:tc>
                <w:tcPr>
                  <w:tcW w:w="1152" w:type="dxa"/>
                </w:tcPr>
                <w:p w14:paraId="79918BB9" w14:textId="77777777" w:rsidR="003343BA" w:rsidRPr="003B14E9" w:rsidRDefault="003343BA" w:rsidP="003343BA">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lastRenderedPageBreak/>
                    <w:t>1</w:t>
                  </w:r>
                </w:p>
              </w:tc>
              <w:tc>
                <w:tcPr>
                  <w:tcW w:w="2873" w:type="dxa"/>
                </w:tcPr>
                <w:p w14:paraId="5FAA1E5F" w14:textId="77777777" w:rsidR="003343BA" w:rsidRPr="003B14E9" w:rsidRDefault="003343BA" w:rsidP="003343BA">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&gt;0 și &lt;=1</w:t>
                  </w:r>
                </w:p>
              </w:tc>
            </w:tr>
            <w:tr w:rsidR="003343BA" w:rsidRPr="003B14E9" w14:paraId="12F06ACD" w14:textId="77777777" w:rsidTr="00B11411">
              <w:trPr>
                <w:trHeight w:val="237"/>
              </w:trPr>
              <w:tc>
                <w:tcPr>
                  <w:tcW w:w="1152" w:type="dxa"/>
                </w:tcPr>
                <w:p w14:paraId="10E40F40" w14:textId="77777777" w:rsidR="003343BA" w:rsidRPr="003B14E9" w:rsidRDefault="003343BA" w:rsidP="003343BA">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2</w:t>
                  </w:r>
                </w:p>
              </w:tc>
              <w:tc>
                <w:tcPr>
                  <w:tcW w:w="2873" w:type="dxa"/>
                </w:tcPr>
                <w:p w14:paraId="1829B423" w14:textId="77777777" w:rsidR="003343BA" w:rsidRPr="003B14E9" w:rsidRDefault="003343BA" w:rsidP="003343BA">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&gt;1 și &lt;= 5</w:t>
                  </w:r>
                </w:p>
              </w:tc>
            </w:tr>
            <w:tr w:rsidR="003343BA" w:rsidRPr="003B14E9" w14:paraId="59925A51" w14:textId="77777777" w:rsidTr="00B11411">
              <w:trPr>
                <w:trHeight w:val="337"/>
              </w:trPr>
              <w:tc>
                <w:tcPr>
                  <w:tcW w:w="1152" w:type="dxa"/>
                </w:tcPr>
                <w:p w14:paraId="2C3DE3E9" w14:textId="77777777" w:rsidR="003343BA" w:rsidRPr="003B14E9" w:rsidRDefault="003343BA" w:rsidP="003343BA">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3</w:t>
                  </w:r>
                </w:p>
              </w:tc>
              <w:tc>
                <w:tcPr>
                  <w:tcW w:w="2873" w:type="dxa"/>
                </w:tcPr>
                <w:p w14:paraId="5D5D2647" w14:textId="77777777" w:rsidR="003343BA" w:rsidRPr="003B14E9" w:rsidRDefault="003343BA" w:rsidP="003343BA">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&gt; 5</w:t>
                  </w:r>
                </w:p>
              </w:tc>
            </w:tr>
          </w:tbl>
          <w:p w14:paraId="5E9FBE2D" w14:textId="77777777" w:rsidR="003343BA" w:rsidRPr="003B14E9" w:rsidRDefault="003343BA" w:rsidP="003343BA">
            <w:pPr>
              <w:pStyle w:val="Default"/>
              <w:rPr>
                <w:rFonts w:ascii="Times New Roman" w:hAnsi="Times New Roman" w:cs="Times New Roman"/>
                <w:sz w:val="18"/>
                <w:szCs w:val="18"/>
              </w:rPr>
            </w:pPr>
          </w:p>
          <w:p w14:paraId="314F9BA4" w14:textId="77777777" w:rsidR="003343BA" w:rsidRPr="003B14E9" w:rsidRDefault="003343BA" w:rsidP="003343BA">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Instituţiile calculează apoi valoarea noţională efectivă a setului de acoperire a riscului j în conformitate cu următoarea formulă: </w:t>
            </w:r>
          </w:p>
          <w:p w14:paraId="5612AD81" w14:textId="77777777" w:rsidR="003343BA" w:rsidRPr="003B14E9" w:rsidRDefault="003343BA" w:rsidP="003343BA">
            <w:pPr>
              <w:pStyle w:val="Default"/>
              <w:rPr>
                <w:rFonts w:ascii="Times New Roman" w:hAnsi="Times New Roman" w:cs="Times New Roman"/>
                <w:sz w:val="18"/>
                <w:szCs w:val="18"/>
              </w:rPr>
            </w:pPr>
          </w:p>
          <w:p w14:paraId="25972048" w14:textId="77777777" w:rsidR="003343BA" w:rsidRPr="003B14E9" w:rsidRDefault="003343BA" w:rsidP="003343BA">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78E5DA4" wp14:editId="4BAB0D0E">
                  <wp:extent cx="2545474" cy="250166"/>
                  <wp:effectExtent l="0" t="0" r="0" b="0"/>
                  <wp:docPr id="1882503956"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02973" cy="265645"/>
                          </a:xfrm>
                          <a:prstGeom prst="rect">
                            <a:avLst/>
                          </a:prstGeom>
                          <a:noFill/>
                          <a:ln>
                            <a:noFill/>
                          </a:ln>
                        </pic:spPr>
                      </pic:pic>
                    </a:graphicData>
                  </a:graphic>
                </wp:inline>
              </w:drawing>
            </w:r>
          </w:p>
          <w:p w14:paraId="31BE2BA5"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679D2956"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C20BFED" wp14:editId="0F6FF23E">
                  <wp:extent cx="513476" cy="215660"/>
                  <wp:effectExtent l="0" t="0" r="1270" b="0"/>
                  <wp:docPr id="18433609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453" cy="229930"/>
                          </a:xfrm>
                          <a:prstGeom prst="rect">
                            <a:avLst/>
                          </a:prstGeom>
                          <a:noFill/>
                        </pic:spPr>
                      </pic:pic>
                    </a:graphicData>
                  </a:graphic>
                </wp:inline>
              </w:drawing>
            </w:r>
            <w:r w:rsidRPr="003B14E9">
              <w:rPr>
                <w:rFonts w:ascii="Times New Roman" w:hAnsi="Times New Roman"/>
                <w:color w:val="000000"/>
                <w:sz w:val="18"/>
                <w:szCs w:val="18"/>
              </w:rPr>
              <w:t xml:space="preserve">= valoarea noţională efectivă a setului de acoperire a riscului j; și </w:t>
            </w:r>
          </w:p>
          <w:p w14:paraId="1347C4A0"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Dj,k = valoarea noţională efectivă a benzii k a setului de acoperire a riscului j, calculată după cum urmează: </w:t>
            </w:r>
          </w:p>
          <w:p w14:paraId="434EF5AF"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4ACF3D6" wp14:editId="0A13453E">
                  <wp:extent cx="1595886" cy="337128"/>
                  <wp:effectExtent l="0" t="0" r="4445" b="6350"/>
                  <wp:docPr id="492057208"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6624" cy="345734"/>
                          </a:xfrm>
                          <a:prstGeom prst="rect">
                            <a:avLst/>
                          </a:prstGeom>
                          <a:noFill/>
                          <a:ln>
                            <a:noFill/>
                          </a:ln>
                        </pic:spPr>
                      </pic:pic>
                    </a:graphicData>
                  </a:graphic>
                </wp:inline>
              </w:drawing>
            </w:r>
          </w:p>
          <w:p w14:paraId="4733FFF5" w14:textId="77777777" w:rsidR="003343BA" w:rsidRPr="003B14E9" w:rsidRDefault="003343BA" w:rsidP="003343BA">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36391441" w14:textId="30EF3B7D" w:rsidR="003343BA" w:rsidRPr="003B14E9" w:rsidRDefault="003343BA" w:rsidP="003343BA">
            <w:pPr>
              <w:pStyle w:val="CM4"/>
              <w:spacing w:before="60" w:after="60"/>
              <w:rPr>
                <w:rFonts w:ascii="Times New Roman" w:hAnsi="Times New Roman"/>
                <w:i/>
                <w:iCs/>
                <w:color w:val="000000"/>
                <w:sz w:val="20"/>
                <w:szCs w:val="20"/>
              </w:rPr>
            </w:pPr>
            <w:r w:rsidRPr="003B14E9">
              <w:rPr>
                <w:rFonts w:ascii="Times New Roman" w:hAnsi="Times New Roman"/>
                <w:color w:val="000000"/>
                <w:sz w:val="18"/>
                <w:szCs w:val="18"/>
              </w:rPr>
              <w:t xml:space="preserve">l = indicele care desemnează poziţia de risc (RiskPosition). </w:t>
            </w:r>
          </w:p>
        </w:tc>
        <w:tc>
          <w:tcPr>
            <w:tcW w:w="4425" w:type="dxa"/>
            <w:shd w:val="clear" w:color="auto" w:fill="auto"/>
          </w:tcPr>
          <w:p w14:paraId="20540F9A" w14:textId="77777777" w:rsidR="003343BA" w:rsidRPr="003B14E9" w:rsidRDefault="003343BA" w:rsidP="003343BA">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Secțiunea a 12-a</w:t>
            </w:r>
          </w:p>
          <w:p w14:paraId="53E743A3" w14:textId="77777777" w:rsidR="003343BA" w:rsidRPr="003B14E9" w:rsidRDefault="003343BA" w:rsidP="003343BA">
            <w:pPr>
              <w:pStyle w:val="Default"/>
              <w:jc w:val="center"/>
              <w:rPr>
                <w:rFonts w:ascii="Times New Roman" w:hAnsi="Times New Roman" w:cs="Times New Roman"/>
                <w:b/>
                <w:bCs/>
                <w:sz w:val="18"/>
                <w:szCs w:val="18"/>
              </w:rPr>
            </w:pPr>
            <w:r w:rsidRPr="003B14E9">
              <w:rPr>
                <w:rFonts w:ascii="Times New Roman" w:hAnsi="Times New Roman" w:cs="Times New Roman"/>
                <w:b/>
                <w:bCs/>
                <w:sz w:val="18"/>
                <w:szCs w:val="18"/>
              </w:rPr>
              <w:t>Majorarea pentru categoria de risc de rată a dobânzii</w:t>
            </w:r>
          </w:p>
          <w:p w14:paraId="6A1AA2FF" w14:textId="77777777" w:rsidR="003343BA" w:rsidRPr="003B14E9" w:rsidRDefault="003343BA" w:rsidP="003343BA">
            <w:pPr>
              <w:pStyle w:val="Default"/>
              <w:rPr>
                <w:rFonts w:ascii="Times New Roman" w:hAnsi="Times New Roman" w:cs="Times New Roman"/>
                <w:sz w:val="18"/>
                <w:szCs w:val="18"/>
              </w:rPr>
            </w:pPr>
            <w:r w:rsidRPr="003B14E9">
              <w:rPr>
                <w:rFonts w:ascii="Times New Roman" w:hAnsi="Times New Roman" w:cs="Times New Roman"/>
                <w:b/>
                <w:bCs/>
                <w:sz w:val="18"/>
                <w:szCs w:val="18"/>
              </w:rPr>
              <w:t>63.</w:t>
            </w:r>
            <w:r w:rsidRPr="003B14E9">
              <w:rPr>
                <w:rFonts w:ascii="Times New Roman" w:hAnsi="Times New Roman" w:cs="Times New Roman"/>
                <w:sz w:val="18"/>
                <w:szCs w:val="18"/>
              </w:rPr>
              <w:t xml:space="preserve"> În sensul punctelor 51-53, băncile calculează majorarea aferentă categoriei de risc de rată a dobânzii pentru un anumit set de compensare după cum urmează: </w:t>
            </w:r>
          </w:p>
          <w:p w14:paraId="1AEC083A"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31ED2E5" wp14:editId="208D6573">
                  <wp:extent cx="1952625" cy="447112"/>
                  <wp:effectExtent l="0" t="0" r="0" b="0"/>
                  <wp:docPr id="456656508" name="Picture 45665650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2036" cy="451557"/>
                          </a:xfrm>
                          <a:prstGeom prst="rect">
                            <a:avLst/>
                          </a:prstGeom>
                          <a:noFill/>
                          <a:ln>
                            <a:noFill/>
                          </a:ln>
                        </pic:spPr>
                      </pic:pic>
                    </a:graphicData>
                  </a:graphic>
                </wp:inline>
              </w:drawing>
            </w:r>
          </w:p>
          <w:p w14:paraId="6C0448A6"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7B63EF41"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lastRenderedPageBreak/>
              <w:t>AddOn</w:t>
            </w:r>
            <w:r w:rsidRPr="003B14E9">
              <w:rPr>
                <w:rFonts w:ascii="Times New Roman" w:hAnsi="Times New Roman" w:cs="Times New Roman"/>
                <w:sz w:val="18"/>
                <w:szCs w:val="18"/>
                <w:vertAlign w:val="superscript"/>
              </w:rPr>
              <w:t xml:space="preserve">IR </w:t>
            </w:r>
            <w:r w:rsidRPr="003B14E9">
              <w:rPr>
                <w:rFonts w:ascii="Times New Roman" w:hAnsi="Times New Roman" w:cs="Times New Roman"/>
                <w:sz w:val="18"/>
                <w:szCs w:val="18"/>
              </w:rPr>
              <w:t xml:space="preserve">= majorarea categoriei de risc de rată a dobânzii; </w:t>
            </w:r>
          </w:p>
          <w:p w14:paraId="43DE80A2"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j = indicele care desemnează toate seturile de acoperire a riscului de rată a dobânzii stabilite în conformitate cu punctul 48 subpunctul 1) și cu punctul 49 pentru setul de compensare; și </w:t>
            </w:r>
          </w:p>
          <w:p w14:paraId="49F98F9B"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6B79A07A" wp14:editId="340E4EE6">
                  <wp:extent cx="638355" cy="252933"/>
                  <wp:effectExtent l="0" t="0" r="0" b="0"/>
                  <wp:docPr id="228354769" name="Picture 22835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4972" cy="259517"/>
                          </a:xfrm>
                          <a:prstGeom prst="rect">
                            <a:avLst/>
                          </a:prstGeom>
                          <a:noFill/>
                        </pic:spPr>
                      </pic:pic>
                    </a:graphicData>
                  </a:graphic>
                </wp:inline>
              </w:drawing>
            </w:r>
            <w:r w:rsidRPr="003B14E9">
              <w:rPr>
                <w:rFonts w:ascii="Times New Roman" w:hAnsi="Times New Roman" w:cs="Times New Roman"/>
                <w:sz w:val="18"/>
                <w:szCs w:val="18"/>
              </w:rPr>
              <w:t xml:space="preserve">= majorarea categoriei de risc de rată a dobânzii pentru setul de acoperire a riscului j calculat în conformitate cu punctul 64. </w:t>
            </w:r>
          </w:p>
          <w:p w14:paraId="06071576"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64.</w:t>
            </w:r>
            <w:r w:rsidRPr="003B14E9">
              <w:rPr>
                <w:rFonts w:ascii="Times New Roman" w:hAnsi="Times New Roman" w:cs="Times New Roman"/>
                <w:sz w:val="18"/>
                <w:szCs w:val="18"/>
              </w:rPr>
              <w:t xml:space="preserve"> Băncile calculează majorarea pentru setul de acoperire a riscului j aferentă categoriei de risc de rată a dobânzii astfel: </w:t>
            </w:r>
          </w:p>
          <w:p w14:paraId="58CF15C6"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3F59AA8" wp14:editId="203AF55A">
                  <wp:extent cx="2465424" cy="333375"/>
                  <wp:effectExtent l="0" t="0" r="0" b="0"/>
                  <wp:docPr id="999722745" name="Picture 99972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7520" cy="333658"/>
                          </a:xfrm>
                          <a:prstGeom prst="rect">
                            <a:avLst/>
                          </a:prstGeom>
                          <a:noFill/>
                        </pic:spPr>
                      </pic:pic>
                    </a:graphicData>
                  </a:graphic>
                </wp:inline>
              </w:drawing>
            </w:r>
          </w:p>
          <w:p w14:paraId="1B8338D4" w14:textId="77777777" w:rsidR="003343BA" w:rsidRPr="003B14E9" w:rsidRDefault="003343BA" w:rsidP="003343BA">
            <w:pPr>
              <w:pStyle w:val="Default"/>
              <w:rPr>
                <w:rFonts w:ascii="Times New Roman" w:hAnsi="Times New Roman" w:cs="Times New Roman"/>
                <w:sz w:val="18"/>
                <w:szCs w:val="18"/>
              </w:rPr>
            </w:pPr>
            <w:r w:rsidRPr="003B14E9">
              <w:rPr>
                <w:rFonts w:ascii="Times New Roman" w:hAnsi="Times New Roman" w:cs="Times New Roman"/>
                <w:sz w:val="18"/>
                <w:szCs w:val="18"/>
              </w:rPr>
              <w:t xml:space="preserve">unde: </w:t>
            </w:r>
            <w:r w:rsidRPr="003B14E9">
              <w:rPr>
                <w:rFonts w:ascii="Times New Roman" w:hAnsi="Times New Roman" w:cs="Times New Roman"/>
                <w:sz w:val="18"/>
                <w:szCs w:val="18"/>
              </w:rPr>
              <w:br/>
            </w:r>
            <w:r w:rsidRPr="003B14E9">
              <w:rPr>
                <w:rFonts w:ascii="Times New Roman" w:eastAsiaTheme="minorHAnsi" w:hAnsi="Times New Roman" w:cs="Times New Roman"/>
                <w:sz w:val="18"/>
                <w:szCs w:val="18"/>
                <w:lang w:val="ro-MD"/>
                <w14:ligatures w14:val="standardContextual"/>
              </w:rPr>
              <w:t xml:space="preserve">є j = coeficientul factorului impus de Banca Națională a Moldovei aferent setului de acoperire a riscului pentru setul de acoperire a riscului j determinat în conformitate cu valoarea aplicabilă specificată la punctul 62; </w:t>
            </w:r>
          </w:p>
          <w:p w14:paraId="1427E613" w14:textId="77777777" w:rsidR="003343BA" w:rsidRPr="003B14E9" w:rsidRDefault="003343BA" w:rsidP="003343BA">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SF</w:t>
            </w:r>
            <w:r w:rsidRPr="003B14E9">
              <w:rPr>
                <w:rFonts w:eastAsiaTheme="minorHAnsi"/>
                <w:color w:val="000000"/>
                <w:sz w:val="18"/>
                <w:szCs w:val="18"/>
                <w:vertAlign w:val="superscript"/>
                <w:lang w:val="ro-MD" w:eastAsia="en-US"/>
                <w14:ligatures w14:val="standardContextual"/>
              </w:rPr>
              <w:t>IR</w:t>
            </w:r>
            <w:r w:rsidRPr="003B14E9">
              <w:rPr>
                <w:rFonts w:eastAsiaTheme="minorHAnsi"/>
                <w:color w:val="000000"/>
                <w:sz w:val="18"/>
                <w:szCs w:val="18"/>
                <w:lang w:val="ro-MD" w:eastAsia="en-US"/>
                <w14:ligatures w14:val="standardContextual"/>
              </w:rPr>
              <w:t xml:space="preserve"> = factorul impus de Banca Națională a Moldovei pentru categoria de risc de rată a dobânzii cu o valoare egală cu 0,5 %; și</w:t>
            </w:r>
          </w:p>
          <w:p w14:paraId="59B21E33" w14:textId="77777777" w:rsidR="003343BA" w:rsidRPr="003B14E9" w:rsidRDefault="003343BA" w:rsidP="003343BA">
            <w:pPr>
              <w:pStyle w:val="Default"/>
              <w:rPr>
                <w:rFonts w:ascii="Times New Roman" w:hAnsi="Times New Roman" w:cs="Times New Roman"/>
                <w:sz w:val="18"/>
                <w:szCs w:val="18"/>
              </w:rPr>
            </w:pPr>
            <w:r w:rsidRPr="003B14E9">
              <w:rPr>
                <w:rFonts w:ascii="Times New Roman" w:hAnsi="Times New Roman" w:cs="Times New Roman"/>
                <w:sz w:val="18"/>
                <w:szCs w:val="18"/>
              </w:rPr>
              <w:t xml:space="preserve"> </w:t>
            </w:r>
            <w:r w:rsidRPr="003B14E9">
              <w:rPr>
                <w:rFonts w:ascii="Times New Roman" w:hAnsi="Times New Roman" w:cs="Times New Roman"/>
                <w:noProof/>
                <w:sz w:val="18"/>
                <w:szCs w:val="18"/>
              </w:rPr>
              <w:drawing>
                <wp:inline distT="0" distB="0" distL="0" distR="0" wp14:anchorId="10E33AC4" wp14:editId="78522619">
                  <wp:extent cx="569343" cy="238179"/>
                  <wp:effectExtent l="0" t="0" r="2540" b="0"/>
                  <wp:docPr id="1982721561" name="Picture 19827215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736" cy="245874"/>
                          </a:xfrm>
                          <a:prstGeom prst="rect">
                            <a:avLst/>
                          </a:prstGeom>
                          <a:noFill/>
                          <a:ln>
                            <a:noFill/>
                          </a:ln>
                        </pic:spPr>
                      </pic:pic>
                    </a:graphicData>
                  </a:graphic>
                </wp:inline>
              </w:drawing>
            </w:r>
            <w:r w:rsidRPr="003B14E9">
              <w:rPr>
                <w:rFonts w:ascii="Times New Roman" w:hAnsi="Times New Roman" w:cs="Times New Roman"/>
                <w:sz w:val="18"/>
                <w:szCs w:val="18"/>
              </w:rPr>
              <w:t xml:space="preserve"> = valoarea noţională efectivă a setului de acoperire a riscului j calculată în conformitate cu punctul 65. </w:t>
            </w:r>
          </w:p>
          <w:p w14:paraId="213D6651"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65.</w:t>
            </w:r>
            <w:r w:rsidRPr="003B14E9">
              <w:rPr>
                <w:rFonts w:ascii="Times New Roman" w:hAnsi="Times New Roman" w:cs="Times New Roman"/>
                <w:sz w:val="18"/>
                <w:szCs w:val="18"/>
              </w:rPr>
              <w:t xml:space="preserve"> Pentru a calcula valoarea noţională efectivă a setului de acoperire a riscului j, băncile încadrează mai întâi fiecare tranzacţie din setul de acoperire a riscului în banda corespunzătoare din tabelul 2. Băncile fac acest lucru pe baza datei de încetare a fiecărei tranzacţii, determinată în conformitate cu punctul 57 subpunctul 1):</w:t>
            </w:r>
          </w:p>
          <w:p w14:paraId="4B8AF875" w14:textId="77777777" w:rsidR="003343BA" w:rsidRPr="003B14E9" w:rsidRDefault="003343BA" w:rsidP="003343BA">
            <w:pPr>
              <w:pStyle w:val="Default"/>
              <w:jc w:val="right"/>
              <w:rPr>
                <w:rFonts w:ascii="Times New Roman" w:hAnsi="Times New Roman" w:cs="Times New Roman"/>
                <w:sz w:val="18"/>
                <w:szCs w:val="18"/>
              </w:rPr>
            </w:pPr>
            <w:r w:rsidRPr="003B14E9">
              <w:rPr>
                <w:rFonts w:ascii="Times New Roman" w:hAnsi="Times New Roman" w:cs="Times New Roman"/>
                <w:sz w:val="18"/>
                <w:szCs w:val="18"/>
              </w:rPr>
              <w:t xml:space="preserve"> Tabelul 2</w:t>
            </w:r>
          </w:p>
          <w:p w14:paraId="2D6A81D6" w14:textId="77777777" w:rsidR="003343BA" w:rsidRPr="003B14E9" w:rsidRDefault="003343BA" w:rsidP="003343BA">
            <w:pPr>
              <w:pStyle w:val="Default"/>
              <w:jc w:val="right"/>
              <w:rPr>
                <w:rFonts w:ascii="Times New Roman" w:hAnsi="Times New Roman" w:cs="Times New Roman"/>
                <w:i/>
                <w:iCs/>
                <w:sz w:val="18"/>
                <w:szCs w:val="18"/>
              </w:rPr>
            </w:pPr>
            <w:r w:rsidRPr="003B14E9">
              <w:rPr>
                <w:rFonts w:ascii="Times New Roman" w:hAnsi="Times New Roman" w:cs="Times New Roman"/>
                <w:sz w:val="18"/>
                <w:szCs w:val="18"/>
              </w:rPr>
              <w:t xml:space="preserve">          </w:t>
            </w:r>
          </w:p>
          <w:tbl>
            <w:tblPr>
              <w:tblStyle w:val="TableGrid"/>
              <w:tblpPr w:leftFromText="180" w:rightFromText="180" w:vertAnchor="text" w:horzAnchor="margin" w:tblpY="-158"/>
              <w:tblOverlap w:val="never"/>
              <w:tblW w:w="5095" w:type="dxa"/>
              <w:tblLayout w:type="fixed"/>
              <w:tblLook w:val="04A0" w:firstRow="1" w:lastRow="0" w:firstColumn="1" w:lastColumn="0" w:noHBand="0" w:noVBand="1"/>
            </w:tblPr>
            <w:tblGrid>
              <w:gridCol w:w="1458"/>
              <w:gridCol w:w="3637"/>
            </w:tblGrid>
            <w:tr w:rsidR="003343BA" w:rsidRPr="003B14E9" w14:paraId="292DB399" w14:textId="77777777" w:rsidTr="00B11411">
              <w:trPr>
                <w:trHeight w:val="265"/>
              </w:trPr>
              <w:tc>
                <w:tcPr>
                  <w:tcW w:w="1458" w:type="dxa"/>
                </w:tcPr>
                <w:p w14:paraId="6A03C6B5"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lastRenderedPageBreak/>
                    <w:t>Banda</w:t>
                  </w:r>
                </w:p>
              </w:tc>
              <w:tc>
                <w:tcPr>
                  <w:tcW w:w="3637" w:type="dxa"/>
                </w:tcPr>
                <w:p w14:paraId="2DEAF109"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Data de încetare (în ani)</w:t>
                  </w:r>
                </w:p>
              </w:tc>
            </w:tr>
            <w:tr w:rsidR="003343BA" w:rsidRPr="003B14E9" w14:paraId="62738A49" w14:textId="77777777" w:rsidTr="00B11411">
              <w:trPr>
                <w:trHeight w:val="282"/>
              </w:trPr>
              <w:tc>
                <w:tcPr>
                  <w:tcW w:w="1458" w:type="dxa"/>
                </w:tcPr>
                <w:p w14:paraId="594FB971"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1</w:t>
                  </w:r>
                </w:p>
              </w:tc>
              <w:tc>
                <w:tcPr>
                  <w:tcW w:w="3637" w:type="dxa"/>
                </w:tcPr>
                <w:p w14:paraId="6289FB1E"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&gt;0 și &lt;=1</w:t>
                  </w:r>
                </w:p>
              </w:tc>
            </w:tr>
            <w:tr w:rsidR="003343BA" w:rsidRPr="003B14E9" w14:paraId="31643130" w14:textId="77777777" w:rsidTr="00B11411">
              <w:trPr>
                <w:trHeight w:val="222"/>
              </w:trPr>
              <w:tc>
                <w:tcPr>
                  <w:tcW w:w="1458" w:type="dxa"/>
                </w:tcPr>
                <w:p w14:paraId="058CEAF0"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2</w:t>
                  </w:r>
                </w:p>
              </w:tc>
              <w:tc>
                <w:tcPr>
                  <w:tcW w:w="3637" w:type="dxa"/>
                </w:tcPr>
                <w:p w14:paraId="0A1DB98E"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&gt;1 și &lt;= 5</w:t>
                  </w:r>
                </w:p>
              </w:tc>
            </w:tr>
            <w:tr w:rsidR="003343BA" w:rsidRPr="003B14E9" w14:paraId="21575EF5" w14:textId="77777777" w:rsidTr="00B11411">
              <w:trPr>
                <w:trHeight w:val="317"/>
              </w:trPr>
              <w:tc>
                <w:tcPr>
                  <w:tcW w:w="1458" w:type="dxa"/>
                </w:tcPr>
                <w:p w14:paraId="6BBFC58B"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3</w:t>
                  </w:r>
                </w:p>
              </w:tc>
              <w:tc>
                <w:tcPr>
                  <w:tcW w:w="3637" w:type="dxa"/>
                </w:tcPr>
                <w:p w14:paraId="370A4DCC"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sz w:val="18"/>
                      <w:szCs w:val="18"/>
                    </w:rPr>
                    <w:t>&gt; 5</w:t>
                  </w:r>
                </w:p>
              </w:tc>
            </w:tr>
          </w:tbl>
          <w:p w14:paraId="2FE29A4C" w14:textId="77777777" w:rsidR="003343BA" w:rsidRPr="003B14E9" w:rsidRDefault="003343BA" w:rsidP="003343BA">
            <w:pPr>
              <w:pStyle w:val="Default"/>
              <w:rPr>
                <w:rFonts w:ascii="Times New Roman" w:hAnsi="Times New Roman" w:cs="Times New Roman"/>
                <w:sz w:val="18"/>
                <w:szCs w:val="18"/>
              </w:rPr>
            </w:pPr>
          </w:p>
          <w:p w14:paraId="23461F6A" w14:textId="77777777" w:rsidR="003343BA" w:rsidRPr="003B14E9" w:rsidRDefault="003343BA" w:rsidP="003343BA">
            <w:pPr>
              <w:pStyle w:val="Default"/>
              <w:rPr>
                <w:rFonts w:ascii="Times New Roman" w:hAnsi="Times New Roman" w:cs="Times New Roman"/>
                <w:sz w:val="18"/>
                <w:szCs w:val="18"/>
              </w:rPr>
            </w:pPr>
          </w:p>
          <w:p w14:paraId="542FFC20"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Băncile calculează apoi valoarea noţională efectivă a setului de acoperire a riscului j în conformitate cu următoarea formulă: </w:t>
            </w:r>
          </w:p>
          <w:p w14:paraId="4FE83090"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28C966E" wp14:editId="6673AB7D">
                  <wp:extent cx="2422955" cy="238125"/>
                  <wp:effectExtent l="0" t="0" r="0" b="0"/>
                  <wp:docPr id="1578788162" name="Picture 15787881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83028" cy="244029"/>
                          </a:xfrm>
                          <a:prstGeom prst="rect">
                            <a:avLst/>
                          </a:prstGeom>
                          <a:noFill/>
                          <a:ln>
                            <a:noFill/>
                          </a:ln>
                        </pic:spPr>
                      </pic:pic>
                    </a:graphicData>
                  </a:graphic>
                </wp:inline>
              </w:drawing>
            </w:r>
          </w:p>
          <w:p w14:paraId="199BF575"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p>
          <w:p w14:paraId="0F24479F"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7DDC687D"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E86B6B8" wp14:editId="111CBFA9">
                  <wp:extent cx="511810" cy="213360"/>
                  <wp:effectExtent l="0" t="0" r="2540" b="0"/>
                  <wp:docPr id="15251858" name="Picture 1525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810" cy="213360"/>
                          </a:xfrm>
                          <a:prstGeom prst="rect">
                            <a:avLst/>
                          </a:prstGeom>
                          <a:noFill/>
                        </pic:spPr>
                      </pic:pic>
                    </a:graphicData>
                  </a:graphic>
                </wp:inline>
              </w:drawing>
            </w:r>
            <w:r w:rsidRPr="003B14E9">
              <w:rPr>
                <w:rFonts w:ascii="Times New Roman" w:hAnsi="Times New Roman" w:cs="Times New Roman"/>
                <w:sz w:val="18"/>
                <w:szCs w:val="18"/>
              </w:rPr>
              <w:t xml:space="preserve"> = valoarea noţională efectivă a setului de acoperire a riscului j; și </w:t>
            </w:r>
          </w:p>
          <w:p w14:paraId="0BA1796D"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Dj,k = valoarea noţională efectivă a benzii k a setului de acoperire a riscului j, calculată după cum urmează: </w:t>
            </w:r>
          </w:p>
          <w:p w14:paraId="4CBC015F" w14:textId="77777777" w:rsidR="003343BA" w:rsidRPr="003B14E9" w:rsidRDefault="003343BA" w:rsidP="003343BA">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6F171F7" wp14:editId="47ADD3B7">
                  <wp:extent cx="1409700" cy="297797"/>
                  <wp:effectExtent l="0" t="0" r="0" b="7620"/>
                  <wp:docPr id="811329690" name="Picture 81132969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59844" cy="308390"/>
                          </a:xfrm>
                          <a:prstGeom prst="rect">
                            <a:avLst/>
                          </a:prstGeom>
                          <a:noFill/>
                          <a:ln>
                            <a:noFill/>
                          </a:ln>
                        </pic:spPr>
                      </pic:pic>
                    </a:graphicData>
                  </a:graphic>
                </wp:inline>
              </w:drawing>
            </w:r>
          </w:p>
          <w:p w14:paraId="638D6AE2"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434A43FB" w14:textId="77777777" w:rsidR="003343BA" w:rsidRPr="003B14E9" w:rsidRDefault="003343BA" w:rsidP="003343BA">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l = indicele care desemnează poziţia de risc (RiskPosition). </w:t>
            </w:r>
          </w:p>
          <w:p w14:paraId="46CAD42F" w14:textId="77777777" w:rsidR="003343BA" w:rsidRPr="003B14E9" w:rsidRDefault="003343BA" w:rsidP="003343BA">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6E3AEF5B" w14:textId="729FFC27" w:rsidR="003343BA" w:rsidRPr="003B14E9" w:rsidRDefault="003343BA" w:rsidP="003343BA">
            <w:pPr>
              <w:jc w:val="both"/>
              <w:rPr>
                <w:sz w:val="18"/>
                <w:szCs w:val="18"/>
                <w:lang w:val="ro-MD"/>
              </w:rPr>
            </w:pPr>
            <w:r w:rsidRPr="003B14E9">
              <w:rPr>
                <w:sz w:val="18"/>
                <w:szCs w:val="18"/>
                <w:lang w:val="ro-MD"/>
              </w:rPr>
              <w:lastRenderedPageBreak/>
              <w:t>Compatibil</w:t>
            </w:r>
          </w:p>
        </w:tc>
        <w:tc>
          <w:tcPr>
            <w:tcW w:w="3041" w:type="dxa"/>
          </w:tcPr>
          <w:p w14:paraId="65FD5F8E" w14:textId="77777777" w:rsidR="003343BA" w:rsidRPr="003B14E9" w:rsidRDefault="003343BA" w:rsidP="003343BA">
            <w:pPr>
              <w:rPr>
                <w:sz w:val="18"/>
                <w:szCs w:val="18"/>
                <w:highlight w:val="red"/>
                <w:lang w:val="ro-MD"/>
              </w:rPr>
            </w:pPr>
          </w:p>
        </w:tc>
        <w:tc>
          <w:tcPr>
            <w:tcW w:w="1055" w:type="dxa"/>
            <w:tcBorders>
              <w:top w:val="single" w:sz="4" w:space="0" w:color="auto"/>
              <w:bottom w:val="single" w:sz="4" w:space="0" w:color="auto"/>
            </w:tcBorders>
          </w:tcPr>
          <w:p w14:paraId="4447C133" w14:textId="77777777" w:rsidR="003343BA" w:rsidRPr="003B14E9" w:rsidRDefault="003343BA" w:rsidP="003343BA">
            <w:pPr>
              <w:jc w:val="both"/>
              <w:rPr>
                <w:sz w:val="18"/>
                <w:szCs w:val="18"/>
                <w:lang w:val="ro-MD"/>
              </w:rPr>
            </w:pPr>
          </w:p>
        </w:tc>
        <w:tc>
          <w:tcPr>
            <w:tcW w:w="1330" w:type="dxa"/>
            <w:tcBorders>
              <w:bottom w:val="single" w:sz="4" w:space="0" w:color="auto"/>
            </w:tcBorders>
          </w:tcPr>
          <w:p w14:paraId="0FCB899D" w14:textId="77777777" w:rsidR="003343BA" w:rsidRPr="003B14E9" w:rsidRDefault="003343BA" w:rsidP="003343BA">
            <w:pPr>
              <w:jc w:val="both"/>
              <w:rPr>
                <w:sz w:val="18"/>
                <w:szCs w:val="18"/>
                <w:lang w:val="ro-MD"/>
              </w:rPr>
            </w:pPr>
          </w:p>
        </w:tc>
      </w:tr>
      <w:tr w:rsidR="00AC2607" w:rsidRPr="003B14E9" w14:paraId="16E975CD" w14:textId="77777777" w:rsidTr="00604EF1">
        <w:trPr>
          <w:trHeight w:val="918"/>
        </w:trPr>
        <w:tc>
          <w:tcPr>
            <w:tcW w:w="4473" w:type="dxa"/>
          </w:tcPr>
          <w:p w14:paraId="31B34928" w14:textId="0727FD39"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lastRenderedPageBreak/>
              <w:t>Articolul 280a</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Majorarea pentru categoria de risc de rată a dobânzii</w:t>
            </w:r>
          </w:p>
          <w:p w14:paraId="460A592D"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În sensul articolului 278, instituţiile calculează majorarea aferentă categoriei de risc de rată a dobânzii pentru un anumit set de compensare după cum urmează: </w:t>
            </w:r>
          </w:p>
          <w:p w14:paraId="160BDE6E" w14:textId="77777777" w:rsidR="00AC2607" w:rsidRPr="003B14E9" w:rsidRDefault="00AC2607" w:rsidP="00AC2607">
            <w:pPr>
              <w:pStyle w:val="CM4"/>
              <w:spacing w:before="60" w:after="60"/>
              <w:jc w:val="center"/>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4DA86740" wp14:editId="508DF005">
                  <wp:extent cx="1164566" cy="266662"/>
                  <wp:effectExtent l="0" t="0" r="0" b="635"/>
                  <wp:docPr id="1424947449"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2561" cy="273072"/>
                          </a:xfrm>
                          <a:prstGeom prst="rect">
                            <a:avLst/>
                          </a:prstGeom>
                          <a:noFill/>
                          <a:ln>
                            <a:noFill/>
                          </a:ln>
                        </pic:spPr>
                      </pic:pic>
                    </a:graphicData>
                  </a:graphic>
                </wp:inline>
              </w:drawing>
            </w:r>
          </w:p>
          <w:p w14:paraId="6060D596"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7DEEBB19"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w:t>
            </w:r>
            <w:r w:rsidRPr="003B14E9">
              <w:rPr>
                <w:rFonts w:ascii="Times New Roman" w:hAnsi="Times New Roman"/>
                <w:color w:val="000000"/>
                <w:sz w:val="18"/>
                <w:szCs w:val="18"/>
                <w:vertAlign w:val="superscript"/>
              </w:rPr>
              <w:t>IR</w:t>
            </w:r>
            <w:r w:rsidRPr="003B14E9">
              <w:rPr>
                <w:rFonts w:ascii="Times New Roman" w:hAnsi="Times New Roman"/>
                <w:color w:val="000000"/>
                <w:sz w:val="18"/>
                <w:szCs w:val="18"/>
              </w:rPr>
              <w:t xml:space="preserve"> = majorarea categoriei de risc de rată a dobânzii; </w:t>
            </w:r>
          </w:p>
          <w:p w14:paraId="4A8CA598"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j = indicele care desemnează toate seturile de acoperire a riscului de rată a dobânzii stabilite în conformitate cu </w:t>
            </w:r>
            <w:r w:rsidRPr="003B14E9">
              <w:rPr>
                <w:rFonts w:ascii="Times New Roman" w:hAnsi="Times New Roman"/>
                <w:color w:val="000000"/>
                <w:sz w:val="18"/>
                <w:szCs w:val="18"/>
              </w:rPr>
              <w:lastRenderedPageBreak/>
              <w:t xml:space="preserve">articolul 277a alineatul (1) litera (a) și cu articolul 277a alineatul (2) pentru setul de compensare; și </w:t>
            </w:r>
          </w:p>
          <w:p w14:paraId="10B98745"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03DCDA0" wp14:editId="0E065CDA">
                  <wp:extent cx="508959" cy="201663"/>
                  <wp:effectExtent l="0" t="0" r="5715" b="8255"/>
                  <wp:docPr id="11116067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506" cy="208616"/>
                          </a:xfrm>
                          <a:prstGeom prst="rect">
                            <a:avLst/>
                          </a:prstGeom>
                          <a:noFill/>
                        </pic:spPr>
                      </pic:pic>
                    </a:graphicData>
                  </a:graphic>
                </wp:inline>
              </w:drawing>
            </w:r>
            <w:r w:rsidRPr="003B14E9">
              <w:rPr>
                <w:rFonts w:ascii="Times New Roman" w:hAnsi="Times New Roman"/>
                <w:color w:val="000000"/>
                <w:sz w:val="18"/>
                <w:szCs w:val="18"/>
              </w:rPr>
              <w:t xml:space="preserve">= majorarea categoriei de risc de rată a dobânzii pentru setul de acoperire a riscului j calculat în conformitate cu alineatul (2). </w:t>
            </w:r>
          </w:p>
          <w:p w14:paraId="38872DBF"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Instituţiile calculează majorarea pentru setul de acoperire a riscului j aferentă categoriei de risc de rată a dobânzii astfel: </w:t>
            </w:r>
          </w:p>
          <w:p w14:paraId="34F2BD66"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524D610" wp14:editId="1134E680">
                  <wp:extent cx="1794295" cy="242625"/>
                  <wp:effectExtent l="0" t="0" r="0" b="5080"/>
                  <wp:docPr id="3501880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8831" cy="245943"/>
                          </a:xfrm>
                          <a:prstGeom prst="rect">
                            <a:avLst/>
                          </a:prstGeom>
                          <a:noFill/>
                        </pic:spPr>
                      </pic:pic>
                    </a:graphicData>
                  </a:graphic>
                </wp:inline>
              </w:drawing>
            </w:r>
          </w:p>
          <w:p w14:paraId="5F58B0B1"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687F70CE"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є j = coeficientul factorului impus de autorităţile de supraveghere aferent setului de acoperire a riscului pentru setul de acoperire a riscului j determinat în conformitate cu valoarea aplicabilă specificată la articolul 280; </w:t>
            </w:r>
          </w:p>
          <w:p w14:paraId="7C178E5C"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SF</w:t>
            </w:r>
            <w:r w:rsidRPr="003B14E9">
              <w:rPr>
                <w:rFonts w:ascii="Times New Roman" w:hAnsi="Times New Roman"/>
                <w:color w:val="000000"/>
                <w:sz w:val="18"/>
                <w:szCs w:val="18"/>
                <w:vertAlign w:val="superscript"/>
              </w:rPr>
              <w:t>IR</w:t>
            </w:r>
            <w:r w:rsidRPr="003B14E9">
              <w:rPr>
                <w:rFonts w:ascii="Times New Roman" w:hAnsi="Times New Roman"/>
                <w:color w:val="000000"/>
                <w:sz w:val="18"/>
                <w:szCs w:val="18"/>
              </w:rPr>
              <w:t xml:space="preserve"> = factorul impus de autorităţile de supraveghere pentru categoria de risc de rată a dobânzii cu o valoare egală cu 0,5 %; și </w:t>
            </w:r>
          </w:p>
          <w:p w14:paraId="2EBD6578"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357B894D" wp14:editId="5F4F2FC7">
                  <wp:extent cx="494894" cy="207034"/>
                  <wp:effectExtent l="0" t="0" r="635" b="2540"/>
                  <wp:docPr id="869402457"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3570" cy="214847"/>
                          </a:xfrm>
                          <a:prstGeom prst="rect">
                            <a:avLst/>
                          </a:prstGeom>
                          <a:noFill/>
                          <a:ln>
                            <a:noFill/>
                          </a:ln>
                        </pic:spPr>
                      </pic:pic>
                    </a:graphicData>
                  </a:graphic>
                </wp:inline>
              </w:drawing>
            </w:r>
            <w:r w:rsidRPr="003B14E9">
              <w:rPr>
                <w:rFonts w:ascii="Times New Roman" w:hAnsi="Times New Roman"/>
                <w:color w:val="000000"/>
                <w:sz w:val="18"/>
                <w:szCs w:val="18"/>
              </w:rPr>
              <w:t xml:space="preserve"> = valoarea noţională efectivă a setului de acoperire a riscului j calculată în conformitate cu alineatul (3). </w:t>
            </w:r>
          </w:p>
          <w:p w14:paraId="32EA84C9"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(3) Pentru a calcula valoarea noţională efectivă a setului de acoperire a riscului j, instituţiile încadrează mai întâi fiecare tranzacţie din setul de acoperire a riscului în banda corespunzătoare din tabelul 2. Instituţiile fac acest lucru pe baza datei de încetare a fiecărei tranzacţii, determinată în conformitate cu articolul 279b alineatul (1) litera (a): </w:t>
            </w:r>
          </w:p>
          <w:p w14:paraId="69703659" w14:textId="0A44FD00" w:rsidR="00AC2607" w:rsidRPr="003B14E9" w:rsidRDefault="00AC2607" w:rsidP="00AC2607">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t xml:space="preserve">          Tabelul 2</w:t>
            </w:r>
          </w:p>
          <w:tbl>
            <w:tblPr>
              <w:tblStyle w:val="TableGrid"/>
              <w:tblW w:w="4025" w:type="dxa"/>
              <w:tblLayout w:type="fixed"/>
              <w:tblLook w:val="04A0" w:firstRow="1" w:lastRow="0" w:firstColumn="1" w:lastColumn="0" w:noHBand="0" w:noVBand="1"/>
            </w:tblPr>
            <w:tblGrid>
              <w:gridCol w:w="1152"/>
              <w:gridCol w:w="2873"/>
            </w:tblGrid>
            <w:tr w:rsidR="00AC2607" w:rsidRPr="003B14E9" w14:paraId="7869399B" w14:textId="77777777" w:rsidTr="00B11411">
              <w:trPr>
                <w:trHeight w:val="283"/>
              </w:trPr>
              <w:tc>
                <w:tcPr>
                  <w:tcW w:w="1152" w:type="dxa"/>
                </w:tcPr>
                <w:p w14:paraId="10E1ED92"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Banda</w:t>
                  </w:r>
                </w:p>
              </w:tc>
              <w:tc>
                <w:tcPr>
                  <w:tcW w:w="2873" w:type="dxa"/>
                </w:tcPr>
                <w:p w14:paraId="4663A978" w14:textId="77777777" w:rsidR="00AC2607" w:rsidRPr="003B14E9" w:rsidRDefault="00AC2607" w:rsidP="00AC2607">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Data de încetare (în ani)</w:t>
                  </w:r>
                </w:p>
              </w:tc>
            </w:tr>
            <w:tr w:rsidR="00AC2607" w:rsidRPr="003B14E9" w14:paraId="1F1A857C" w14:textId="77777777" w:rsidTr="00B11411">
              <w:trPr>
                <w:trHeight w:val="301"/>
              </w:trPr>
              <w:tc>
                <w:tcPr>
                  <w:tcW w:w="1152" w:type="dxa"/>
                </w:tcPr>
                <w:p w14:paraId="77D3E76A" w14:textId="77777777" w:rsidR="00AC2607" w:rsidRPr="003B14E9" w:rsidRDefault="00AC2607" w:rsidP="00AC2607">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1</w:t>
                  </w:r>
                </w:p>
              </w:tc>
              <w:tc>
                <w:tcPr>
                  <w:tcW w:w="2873" w:type="dxa"/>
                </w:tcPr>
                <w:p w14:paraId="1761D44E" w14:textId="77777777" w:rsidR="00AC2607" w:rsidRPr="003B14E9" w:rsidRDefault="00AC2607" w:rsidP="00AC2607">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&gt;0 și &lt;=1</w:t>
                  </w:r>
                </w:p>
              </w:tc>
            </w:tr>
            <w:tr w:rsidR="00AC2607" w:rsidRPr="003B14E9" w14:paraId="7D47D2F4" w14:textId="77777777" w:rsidTr="00B11411">
              <w:trPr>
                <w:trHeight w:val="237"/>
              </w:trPr>
              <w:tc>
                <w:tcPr>
                  <w:tcW w:w="1152" w:type="dxa"/>
                </w:tcPr>
                <w:p w14:paraId="577FB505" w14:textId="77777777" w:rsidR="00AC2607" w:rsidRPr="003B14E9" w:rsidRDefault="00AC2607" w:rsidP="00AC2607">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lastRenderedPageBreak/>
                    <w:t>2</w:t>
                  </w:r>
                </w:p>
              </w:tc>
              <w:tc>
                <w:tcPr>
                  <w:tcW w:w="2873" w:type="dxa"/>
                </w:tcPr>
                <w:p w14:paraId="59506BE3" w14:textId="77777777" w:rsidR="00AC2607" w:rsidRPr="003B14E9" w:rsidRDefault="00AC2607" w:rsidP="00AC2607">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&gt;1 și &lt;= 5</w:t>
                  </w:r>
                </w:p>
              </w:tc>
            </w:tr>
            <w:tr w:rsidR="00AC2607" w:rsidRPr="003B14E9" w14:paraId="3CEC4898" w14:textId="77777777" w:rsidTr="00B11411">
              <w:trPr>
                <w:trHeight w:val="337"/>
              </w:trPr>
              <w:tc>
                <w:tcPr>
                  <w:tcW w:w="1152" w:type="dxa"/>
                </w:tcPr>
                <w:p w14:paraId="4774E5A2" w14:textId="77777777" w:rsidR="00AC2607" w:rsidRPr="003B14E9" w:rsidRDefault="00AC2607" w:rsidP="00AC2607">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3</w:t>
                  </w:r>
                </w:p>
              </w:tc>
              <w:tc>
                <w:tcPr>
                  <w:tcW w:w="2873" w:type="dxa"/>
                </w:tcPr>
                <w:p w14:paraId="6A9A4F97" w14:textId="77777777" w:rsidR="00AC2607" w:rsidRPr="003B14E9" w:rsidRDefault="00AC2607" w:rsidP="00AC2607">
                  <w:pPr>
                    <w:pStyle w:val="Default"/>
                    <w:jc w:val="center"/>
                    <w:rPr>
                      <w:rFonts w:ascii="Times New Roman" w:hAnsi="Times New Roman" w:cs="Times New Roman"/>
                      <w:sz w:val="18"/>
                      <w:szCs w:val="18"/>
                      <w:lang w:val="en-US"/>
                    </w:rPr>
                  </w:pPr>
                  <w:r w:rsidRPr="003B14E9">
                    <w:rPr>
                      <w:rFonts w:ascii="Times New Roman" w:hAnsi="Times New Roman" w:cs="Times New Roman"/>
                      <w:sz w:val="18"/>
                      <w:szCs w:val="18"/>
                    </w:rPr>
                    <w:t>&gt; 5</w:t>
                  </w:r>
                </w:p>
              </w:tc>
            </w:tr>
          </w:tbl>
          <w:p w14:paraId="4FA9C8E8" w14:textId="77777777" w:rsidR="00AC2607" w:rsidRPr="003B14E9" w:rsidRDefault="00AC2607" w:rsidP="00AC2607">
            <w:pPr>
              <w:pStyle w:val="Default"/>
              <w:rPr>
                <w:rFonts w:ascii="Times New Roman" w:hAnsi="Times New Roman" w:cs="Times New Roman"/>
                <w:sz w:val="18"/>
                <w:szCs w:val="18"/>
              </w:rPr>
            </w:pPr>
          </w:p>
          <w:p w14:paraId="3F8D5661" w14:textId="77777777" w:rsidR="00AC2607" w:rsidRPr="003B14E9" w:rsidRDefault="00AC2607" w:rsidP="00AC2607">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Instituţiile calculează apoi valoarea noţională efectivă a setului de acoperire a riscului j în conformitate cu următoarea formulă: </w:t>
            </w:r>
          </w:p>
          <w:p w14:paraId="2C37A8DF" w14:textId="77777777" w:rsidR="00AC2607" w:rsidRPr="003B14E9" w:rsidRDefault="00AC2607" w:rsidP="00AC2607">
            <w:pPr>
              <w:pStyle w:val="Default"/>
              <w:rPr>
                <w:rFonts w:ascii="Times New Roman" w:hAnsi="Times New Roman" w:cs="Times New Roman"/>
                <w:sz w:val="18"/>
                <w:szCs w:val="18"/>
              </w:rPr>
            </w:pPr>
          </w:p>
          <w:p w14:paraId="6E56407C" w14:textId="77777777" w:rsidR="00AC2607" w:rsidRPr="003B14E9" w:rsidRDefault="00AC2607" w:rsidP="00AC2607">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BE8D934" wp14:editId="2EE1A005">
                  <wp:extent cx="2545474" cy="250166"/>
                  <wp:effectExtent l="0" t="0" r="0" b="0"/>
                  <wp:docPr id="1218719720"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02973" cy="265645"/>
                          </a:xfrm>
                          <a:prstGeom prst="rect">
                            <a:avLst/>
                          </a:prstGeom>
                          <a:noFill/>
                          <a:ln>
                            <a:noFill/>
                          </a:ln>
                        </pic:spPr>
                      </pic:pic>
                    </a:graphicData>
                  </a:graphic>
                </wp:inline>
              </w:drawing>
            </w:r>
          </w:p>
          <w:p w14:paraId="7DF4CE34"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33979628"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20C4AAAC" wp14:editId="33D44D92">
                  <wp:extent cx="513476" cy="215660"/>
                  <wp:effectExtent l="0" t="0" r="1270" b="0"/>
                  <wp:docPr id="5805436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453" cy="229930"/>
                          </a:xfrm>
                          <a:prstGeom prst="rect">
                            <a:avLst/>
                          </a:prstGeom>
                          <a:noFill/>
                        </pic:spPr>
                      </pic:pic>
                    </a:graphicData>
                  </a:graphic>
                </wp:inline>
              </w:drawing>
            </w:r>
            <w:r w:rsidRPr="003B14E9">
              <w:rPr>
                <w:rFonts w:ascii="Times New Roman" w:hAnsi="Times New Roman"/>
                <w:color w:val="000000"/>
                <w:sz w:val="18"/>
                <w:szCs w:val="18"/>
              </w:rPr>
              <w:t xml:space="preserve">= valoarea noţională efectivă a setului de acoperire a riscului j; și </w:t>
            </w:r>
          </w:p>
          <w:p w14:paraId="59683A59"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Dj,k = valoarea noţională efectivă a benzii k a setului de acoperire a riscului j, calculată după cum urmează: </w:t>
            </w:r>
          </w:p>
          <w:p w14:paraId="0E933C8E"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2B09FA5" wp14:editId="7CE97353">
                  <wp:extent cx="1595886" cy="337128"/>
                  <wp:effectExtent l="0" t="0" r="4445" b="6350"/>
                  <wp:docPr id="1384579018"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6624" cy="345734"/>
                          </a:xfrm>
                          <a:prstGeom prst="rect">
                            <a:avLst/>
                          </a:prstGeom>
                          <a:noFill/>
                          <a:ln>
                            <a:noFill/>
                          </a:ln>
                        </pic:spPr>
                      </pic:pic>
                    </a:graphicData>
                  </a:graphic>
                </wp:inline>
              </w:drawing>
            </w:r>
          </w:p>
          <w:p w14:paraId="4186CD5B" w14:textId="77777777" w:rsidR="00AC2607" w:rsidRPr="003B14E9" w:rsidRDefault="00AC2607" w:rsidP="00AC260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16CFA4CA" w14:textId="6B80F79E" w:rsidR="00AC2607" w:rsidRPr="003B14E9" w:rsidRDefault="00AC2607" w:rsidP="00AC2607">
            <w:pPr>
              <w:pStyle w:val="CM4"/>
              <w:spacing w:before="60" w:after="60"/>
              <w:rPr>
                <w:rFonts w:ascii="Times New Roman" w:hAnsi="Times New Roman"/>
                <w:i/>
                <w:iCs/>
                <w:color w:val="000000"/>
                <w:sz w:val="20"/>
                <w:szCs w:val="20"/>
              </w:rPr>
            </w:pPr>
            <w:r w:rsidRPr="003B14E9">
              <w:rPr>
                <w:rFonts w:ascii="Times New Roman" w:hAnsi="Times New Roman"/>
                <w:color w:val="000000"/>
                <w:sz w:val="18"/>
                <w:szCs w:val="18"/>
              </w:rPr>
              <w:t xml:space="preserve">l = indicele care desemnează poziţia de risc (RiskPosition). </w:t>
            </w:r>
          </w:p>
        </w:tc>
        <w:tc>
          <w:tcPr>
            <w:tcW w:w="4425" w:type="dxa"/>
            <w:shd w:val="clear" w:color="auto" w:fill="auto"/>
          </w:tcPr>
          <w:p w14:paraId="22FA370F" w14:textId="77777777" w:rsidR="00AC2607" w:rsidRPr="003B14E9" w:rsidRDefault="00AC2607" w:rsidP="00AC2607">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Secțiunea a 12-a</w:t>
            </w:r>
          </w:p>
          <w:p w14:paraId="741EF052" w14:textId="77777777" w:rsidR="00AC2607" w:rsidRPr="003B14E9" w:rsidRDefault="00AC2607" w:rsidP="00AC2607">
            <w:pPr>
              <w:pStyle w:val="Default"/>
              <w:jc w:val="center"/>
              <w:rPr>
                <w:rFonts w:ascii="Times New Roman" w:hAnsi="Times New Roman" w:cs="Times New Roman"/>
                <w:b/>
                <w:bCs/>
                <w:sz w:val="18"/>
                <w:szCs w:val="18"/>
              </w:rPr>
            </w:pPr>
            <w:r w:rsidRPr="003B14E9">
              <w:rPr>
                <w:rFonts w:ascii="Times New Roman" w:hAnsi="Times New Roman" w:cs="Times New Roman"/>
                <w:b/>
                <w:bCs/>
                <w:sz w:val="18"/>
                <w:szCs w:val="18"/>
              </w:rPr>
              <w:t>Majorarea pentru categoria de risc de rată a dobânzii</w:t>
            </w:r>
          </w:p>
          <w:p w14:paraId="61F66AA1" w14:textId="77777777" w:rsidR="00AC2607" w:rsidRPr="003B14E9" w:rsidRDefault="00AC2607" w:rsidP="00AC2607">
            <w:pPr>
              <w:pStyle w:val="Default"/>
              <w:rPr>
                <w:rFonts w:ascii="Times New Roman" w:hAnsi="Times New Roman" w:cs="Times New Roman"/>
                <w:sz w:val="18"/>
                <w:szCs w:val="18"/>
              </w:rPr>
            </w:pPr>
            <w:r w:rsidRPr="003B14E9">
              <w:rPr>
                <w:rFonts w:ascii="Times New Roman" w:hAnsi="Times New Roman" w:cs="Times New Roman"/>
                <w:b/>
                <w:bCs/>
                <w:sz w:val="18"/>
                <w:szCs w:val="18"/>
              </w:rPr>
              <w:t>63.</w:t>
            </w:r>
            <w:r w:rsidRPr="003B14E9">
              <w:rPr>
                <w:rFonts w:ascii="Times New Roman" w:hAnsi="Times New Roman" w:cs="Times New Roman"/>
                <w:sz w:val="18"/>
                <w:szCs w:val="18"/>
              </w:rPr>
              <w:t xml:space="preserve"> În sensul punctelor 51-53, băncile calculează majorarea aferentă categoriei de risc de rată a dobânzii pentru un anumit set de compensare după cum urmează: </w:t>
            </w:r>
          </w:p>
          <w:p w14:paraId="4565919B"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66AED01" wp14:editId="5F131FA5">
                  <wp:extent cx="1952625" cy="447112"/>
                  <wp:effectExtent l="0" t="0" r="0" b="0"/>
                  <wp:docPr id="522072187" name="Picture 52207218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2036" cy="451557"/>
                          </a:xfrm>
                          <a:prstGeom prst="rect">
                            <a:avLst/>
                          </a:prstGeom>
                          <a:noFill/>
                          <a:ln>
                            <a:noFill/>
                          </a:ln>
                        </pic:spPr>
                      </pic:pic>
                    </a:graphicData>
                  </a:graphic>
                </wp:inline>
              </w:drawing>
            </w:r>
          </w:p>
          <w:p w14:paraId="648FCF75"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7C16A7C6"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AddOn</w:t>
            </w:r>
            <w:r w:rsidRPr="003B14E9">
              <w:rPr>
                <w:rFonts w:ascii="Times New Roman" w:hAnsi="Times New Roman" w:cs="Times New Roman"/>
                <w:sz w:val="18"/>
                <w:szCs w:val="18"/>
                <w:vertAlign w:val="superscript"/>
              </w:rPr>
              <w:t xml:space="preserve">IR </w:t>
            </w:r>
            <w:r w:rsidRPr="003B14E9">
              <w:rPr>
                <w:rFonts w:ascii="Times New Roman" w:hAnsi="Times New Roman" w:cs="Times New Roman"/>
                <w:sz w:val="18"/>
                <w:szCs w:val="18"/>
              </w:rPr>
              <w:t xml:space="preserve">= majorarea categoriei de risc de rată a dobânzii; </w:t>
            </w:r>
          </w:p>
          <w:p w14:paraId="0C2F42D4"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j = indicele care desemnează toate seturile de acoperire a riscului de rată a dobânzii stabilite în conformitate cu </w:t>
            </w:r>
            <w:r w:rsidRPr="003B14E9">
              <w:rPr>
                <w:rFonts w:ascii="Times New Roman" w:hAnsi="Times New Roman" w:cs="Times New Roman"/>
                <w:sz w:val="18"/>
                <w:szCs w:val="18"/>
              </w:rPr>
              <w:lastRenderedPageBreak/>
              <w:t xml:space="preserve">punctul 48 subpunctul 1) și cu punctul 49 pentru setul de compensare; și </w:t>
            </w:r>
          </w:p>
          <w:p w14:paraId="0C238813"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BB1E670" wp14:editId="72E24D4C">
                  <wp:extent cx="638355" cy="252933"/>
                  <wp:effectExtent l="0" t="0" r="0" b="0"/>
                  <wp:docPr id="1919250320" name="Picture 191925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4972" cy="259517"/>
                          </a:xfrm>
                          <a:prstGeom prst="rect">
                            <a:avLst/>
                          </a:prstGeom>
                          <a:noFill/>
                        </pic:spPr>
                      </pic:pic>
                    </a:graphicData>
                  </a:graphic>
                </wp:inline>
              </w:drawing>
            </w:r>
            <w:r w:rsidRPr="003B14E9">
              <w:rPr>
                <w:rFonts w:ascii="Times New Roman" w:hAnsi="Times New Roman" w:cs="Times New Roman"/>
                <w:sz w:val="18"/>
                <w:szCs w:val="18"/>
              </w:rPr>
              <w:t xml:space="preserve">= majorarea categoriei de risc de rată a dobânzii pentru setul de acoperire a riscului j calculat în conformitate cu punctul 64. </w:t>
            </w:r>
          </w:p>
          <w:p w14:paraId="4A27F833"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64.</w:t>
            </w:r>
            <w:r w:rsidRPr="003B14E9">
              <w:rPr>
                <w:rFonts w:ascii="Times New Roman" w:hAnsi="Times New Roman" w:cs="Times New Roman"/>
                <w:sz w:val="18"/>
                <w:szCs w:val="18"/>
              </w:rPr>
              <w:t xml:space="preserve"> Băncile calculează majorarea pentru setul de acoperire a riscului j aferentă categoriei de risc de rată a dobânzii astfel: </w:t>
            </w:r>
          </w:p>
          <w:p w14:paraId="7A699850"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6EBC4B20" wp14:editId="489B07D4">
                  <wp:extent cx="2465424" cy="333375"/>
                  <wp:effectExtent l="0" t="0" r="0" b="0"/>
                  <wp:docPr id="665506349" name="Picture 66550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7520" cy="333658"/>
                          </a:xfrm>
                          <a:prstGeom prst="rect">
                            <a:avLst/>
                          </a:prstGeom>
                          <a:noFill/>
                        </pic:spPr>
                      </pic:pic>
                    </a:graphicData>
                  </a:graphic>
                </wp:inline>
              </w:drawing>
            </w:r>
          </w:p>
          <w:p w14:paraId="40052275" w14:textId="77777777" w:rsidR="00AC2607" w:rsidRPr="003B14E9" w:rsidRDefault="00AC2607" w:rsidP="00AC2607">
            <w:pPr>
              <w:pStyle w:val="Default"/>
              <w:rPr>
                <w:rFonts w:ascii="Times New Roman" w:hAnsi="Times New Roman" w:cs="Times New Roman"/>
                <w:sz w:val="18"/>
                <w:szCs w:val="18"/>
              </w:rPr>
            </w:pPr>
            <w:r w:rsidRPr="003B14E9">
              <w:rPr>
                <w:rFonts w:ascii="Times New Roman" w:hAnsi="Times New Roman" w:cs="Times New Roman"/>
                <w:sz w:val="18"/>
                <w:szCs w:val="18"/>
              </w:rPr>
              <w:t xml:space="preserve">unde: </w:t>
            </w:r>
            <w:r w:rsidRPr="003B14E9">
              <w:rPr>
                <w:rFonts w:ascii="Times New Roman" w:hAnsi="Times New Roman" w:cs="Times New Roman"/>
                <w:sz w:val="18"/>
                <w:szCs w:val="18"/>
              </w:rPr>
              <w:br/>
            </w:r>
            <w:r w:rsidRPr="003B14E9">
              <w:rPr>
                <w:rFonts w:ascii="Times New Roman" w:eastAsiaTheme="minorHAnsi" w:hAnsi="Times New Roman" w:cs="Times New Roman"/>
                <w:sz w:val="18"/>
                <w:szCs w:val="18"/>
                <w:lang w:val="ro-MD"/>
                <w14:ligatures w14:val="standardContextual"/>
              </w:rPr>
              <w:t xml:space="preserve">є j = coeficientul factorului impus de Banca Națională a Moldovei aferent setului de acoperire a riscului pentru setul de acoperire a riscului j determinat în conformitate cu valoarea aplicabilă specificată la punctul 62; </w:t>
            </w:r>
          </w:p>
          <w:p w14:paraId="2007C3D7" w14:textId="77777777" w:rsidR="00AC2607" w:rsidRPr="003B14E9" w:rsidRDefault="00AC2607" w:rsidP="00AC260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SF</w:t>
            </w:r>
            <w:r w:rsidRPr="003B14E9">
              <w:rPr>
                <w:rFonts w:eastAsiaTheme="minorHAnsi"/>
                <w:color w:val="000000"/>
                <w:sz w:val="18"/>
                <w:szCs w:val="18"/>
                <w:vertAlign w:val="superscript"/>
                <w:lang w:val="ro-MD" w:eastAsia="en-US"/>
                <w14:ligatures w14:val="standardContextual"/>
              </w:rPr>
              <w:t>IR</w:t>
            </w:r>
            <w:r w:rsidRPr="003B14E9">
              <w:rPr>
                <w:rFonts w:eastAsiaTheme="minorHAnsi"/>
                <w:color w:val="000000"/>
                <w:sz w:val="18"/>
                <w:szCs w:val="18"/>
                <w:lang w:val="ro-MD" w:eastAsia="en-US"/>
                <w14:ligatures w14:val="standardContextual"/>
              </w:rPr>
              <w:t xml:space="preserve"> = factorul impus de Banca Națională a Moldovei pentru categoria de risc de rată a dobânzii cu o valoare egală cu 0,5 %; și</w:t>
            </w:r>
          </w:p>
          <w:p w14:paraId="64F0C0B5" w14:textId="77777777" w:rsidR="00AC2607" w:rsidRPr="003B14E9" w:rsidRDefault="00AC2607" w:rsidP="00AC2607">
            <w:pPr>
              <w:pStyle w:val="Default"/>
              <w:rPr>
                <w:rFonts w:ascii="Times New Roman" w:hAnsi="Times New Roman" w:cs="Times New Roman"/>
                <w:sz w:val="18"/>
                <w:szCs w:val="18"/>
              </w:rPr>
            </w:pPr>
            <w:r w:rsidRPr="003B14E9">
              <w:rPr>
                <w:rFonts w:ascii="Times New Roman" w:hAnsi="Times New Roman" w:cs="Times New Roman"/>
                <w:sz w:val="18"/>
                <w:szCs w:val="18"/>
              </w:rPr>
              <w:t xml:space="preserve"> </w:t>
            </w:r>
            <w:r w:rsidRPr="003B14E9">
              <w:rPr>
                <w:rFonts w:ascii="Times New Roman" w:hAnsi="Times New Roman" w:cs="Times New Roman"/>
                <w:noProof/>
                <w:sz w:val="18"/>
                <w:szCs w:val="18"/>
              </w:rPr>
              <w:drawing>
                <wp:inline distT="0" distB="0" distL="0" distR="0" wp14:anchorId="7E883DEF" wp14:editId="4BBCE592">
                  <wp:extent cx="569343" cy="238179"/>
                  <wp:effectExtent l="0" t="0" r="2540" b="0"/>
                  <wp:docPr id="730121300" name="Picture 73012130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736" cy="245874"/>
                          </a:xfrm>
                          <a:prstGeom prst="rect">
                            <a:avLst/>
                          </a:prstGeom>
                          <a:noFill/>
                          <a:ln>
                            <a:noFill/>
                          </a:ln>
                        </pic:spPr>
                      </pic:pic>
                    </a:graphicData>
                  </a:graphic>
                </wp:inline>
              </w:drawing>
            </w:r>
            <w:r w:rsidRPr="003B14E9">
              <w:rPr>
                <w:rFonts w:ascii="Times New Roman" w:hAnsi="Times New Roman" w:cs="Times New Roman"/>
                <w:sz w:val="18"/>
                <w:szCs w:val="18"/>
              </w:rPr>
              <w:t xml:space="preserve"> = valoarea noţională efectivă a setului de acoperire a riscului j calculată în conformitate cu punctul 65. </w:t>
            </w:r>
          </w:p>
          <w:p w14:paraId="031DC30A"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65.</w:t>
            </w:r>
            <w:r w:rsidRPr="003B14E9">
              <w:rPr>
                <w:rFonts w:ascii="Times New Roman" w:hAnsi="Times New Roman" w:cs="Times New Roman"/>
                <w:sz w:val="18"/>
                <w:szCs w:val="18"/>
              </w:rPr>
              <w:t xml:space="preserve"> Pentru a calcula valoarea noţională efectivă a setului de acoperire a riscului j, băncile încadrează mai întâi fiecare tranzacţie din setul de acoperire a riscului în banda corespunzătoare din tabelul 2. Băncile fac acest lucru pe baza datei de încetare a fiecărei tranzacţii, determinată în conformitate cu punctul 57 subpunctul 1):</w:t>
            </w:r>
          </w:p>
          <w:p w14:paraId="27CFFD99" w14:textId="77777777" w:rsidR="00AC2607" w:rsidRPr="003B14E9" w:rsidRDefault="00AC2607" w:rsidP="00AC2607">
            <w:pPr>
              <w:pStyle w:val="Default"/>
              <w:jc w:val="right"/>
              <w:rPr>
                <w:rFonts w:ascii="Times New Roman" w:hAnsi="Times New Roman" w:cs="Times New Roman"/>
                <w:sz w:val="18"/>
                <w:szCs w:val="18"/>
              </w:rPr>
            </w:pPr>
            <w:r w:rsidRPr="003B14E9">
              <w:rPr>
                <w:rFonts w:ascii="Times New Roman" w:hAnsi="Times New Roman" w:cs="Times New Roman"/>
                <w:sz w:val="18"/>
                <w:szCs w:val="18"/>
              </w:rPr>
              <w:t xml:space="preserve"> Tabelul 2</w:t>
            </w:r>
          </w:p>
          <w:p w14:paraId="71409B71" w14:textId="77777777" w:rsidR="00AC2607" w:rsidRPr="003B14E9" w:rsidRDefault="00AC2607" w:rsidP="00AC2607">
            <w:pPr>
              <w:pStyle w:val="Default"/>
              <w:jc w:val="right"/>
              <w:rPr>
                <w:rFonts w:ascii="Times New Roman" w:hAnsi="Times New Roman" w:cs="Times New Roman"/>
                <w:i/>
                <w:iCs/>
                <w:sz w:val="18"/>
                <w:szCs w:val="18"/>
              </w:rPr>
            </w:pPr>
            <w:r w:rsidRPr="003B14E9">
              <w:rPr>
                <w:rFonts w:ascii="Times New Roman" w:hAnsi="Times New Roman" w:cs="Times New Roman"/>
                <w:sz w:val="18"/>
                <w:szCs w:val="18"/>
              </w:rPr>
              <w:t xml:space="preserve">          </w:t>
            </w:r>
          </w:p>
          <w:tbl>
            <w:tblPr>
              <w:tblStyle w:val="TableGrid"/>
              <w:tblpPr w:leftFromText="180" w:rightFromText="180" w:vertAnchor="text" w:horzAnchor="margin" w:tblpY="-158"/>
              <w:tblOverlap w:val="never"/>
              <w:tblW w:w="5095" w:type="dxa"/>
              <w:tblLayout w:type="fixed"/>
              <w:tblLook w:val="04A0" w:firstRow="1" w:lastRow="0" w:firstColumn="1" w:lastColumn="0" w:noHBand="0" w:noVBand="1"/>
            </w:tblPr>
            <w:tblGrid>
              <w:gridCol w:w="1458"/>
              <w:gridCol w:w="3637"/>
            </w:tblGrid>
            <w:tr w:rsidR="00AC2607" w:rsidRPr="003B14E9" w14:paraId="3245313E" w14:textId="77777777" w:rsidTr="00B11411">
              <w:trPr>
                <w:trHeight w:val="265"/>
              </w:trPr>
              <w:tc>
                <w:tcPr>
                  <w:tcW w:w="1458" w:type="dxa"/>
                </w:tcPr>
                <w:p w14:paraId="56982C1F"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lastRenderedPageBreak/>
                    <w:t>Banda</w:t>
                  </w:r>
                </w:p>
              </w:tc>
              <w:tc>
                <w:tcPr>
                  <w:tcW w:w="3637" w:type="dxa"/>
                </w:tcPr>
                <w:p w14:paraId="26E174A9"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Data de încetare (în ani)</w:t>
                  </w:r>
                </w:p>
              </w:tc>
            </w:tr>
            <w:tr w:rsidR="00AC2607" w:rsidRPr="003B14E9" w14:paraId="3D28EB31" w14:textId="77777777" w:rsidTr="00B11411">
              <w:trPr>
                <w:trHeight w:val="282"/>
              </w:trPr>
              <w:tc>
                <w:tcPr>
                  <w:tcW w:w="1458" w:type="dxa"/>
                </w:tcPr>
                <w:p w14:paraId="237ED3B1"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1</w:t>
                  </w:r>
                </w:p>
              </w:tc>
              <w:tc>
                <w:tcPr>
                  <w:tcW w:w="3637" w:type="dxa"/>
                </w:tcPr>
                <w:p w14:paraId="538C01AB"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&gt;0 și &lt;=1</w:t>
                  </w:r>
                </w:p>
              </w:tc>
            </w:tr>
            <w:tr w:rsidR="00AC2607" w:rsidRPr="003B14E9" w14:paraId="1F283527" w14:textId="77777777" w:rsidTr="00B11411">
              <w:trPr>
                <w:trHeight w:val="222"/>
              </w:trPr>
              <w:tc>
                <w:tcPr>
                  <w:tcW w:w="1458" w:type="dxa"/>
                </w:tcPr>
                <w:p w14:paraId="65D38A1E"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2</w:t>
                  </w:r>
                </w:p>
              </w:tc>
              <w:tc>
                <w:tcPr>
                  <w:tcW w:w="3637" w:type="dxa"/>
                </w:tcPr>
                <w:p w14:paraId="7F66A07F"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&gt;1 și &lt;= 5</w:t>
                  </w:r>
                </w:p>
              </w:tc>
            </w:tr>
            <w:tr w:rsidR="00AC2607" w:rsidRPr="003B14E9" w14:paraId="35B563C1" w14:textId="77777777" w:rsidTr="00B11411">
              <w:trPr>
                <w:trHeight w:val="317"/>
              </w:trPr>
              <w:tc>
                <w:tcPr>
                  <w:tcW w:w="1458" w:type="dxa"/>
                </w:tcPr>
                <w:p w14:paraId="648BED4F"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3</w:t>
                  </w:r>
                </w:p>
              </w:tc>
              <w:tc>
                <w:tcPr>
                  <w:tcW w:w="3637" w:type="dxa"/>
                </w:tcPr>
                <w:p w14:paraId="671BEF3A"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sz w:val="18"/>
                      <w:szCs w:val="18"/>
                    </w:rPr>
                    <w:t>&gt; 5</w:t>
                  </w:r>
                </w:p>
              </w:tc>
            </w:tr>
          </w:tbl>
          <w:p w14:paraId="0AC0BB3C" w14:textId="77777777" w:rsidR="00AC2607" w:rsidRPr="003B14E9" w:rsidRDefault="00AC2607" w:rsidP="00AC2607">
            <w:pPr>
              <w:pStyle w:val="Default"/>
              <w:rPr>
                <w:rFonts w:ascii="Times New Roman" w:hAnsi="Times New Roman" w:cs="Times New Roman"/>
                <w:sz w:val="18"/>
                <w:szCs w:val="18"/>
              </w:rPr>
            </w:pPr>
          </w:p>
          <w:p w14:paraId="1EDB914A" w14:textId="77777777" w:rsidR="00AC2607" w:rsidRPr="003B14E9" w:rsidRDefault="00AC2607" w:rsidP="00AC2607">
            <w:pPr>
              <w:pStyle w:val="Default"/>
              <w:rPr>
                <w:rFonts w:ascii="Times New Roman" w:hAnsi="Times New Roman" w:cs="Times New Roman"/>
                <w:sz w:val="18"/>
                <w:szCs w:val="18"/>
              </w:rPr>
            </w:pPr>
          </w:p>
          <w:p w14:paraId="686188F7"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Băncile calculează apoi valoarea noţională efectivă a setului de acoperire a riscului j în conformitate cu următoarea formulă: </w:t>
            </w:r>
          </w:p>
          <w:p w14:paraId="00D057B5"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8BFF3AC" wp14:editId="66F3DAF5">
                  <wp:extent cx="2422955" cy="238125"/>
                  <wp:effectExtent l="0" t="0" r="0" b="0"/>
                  <wp:docPr id="926224525" name="Picture 9262245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83028" cy="244029"/>
                          </a:xfrm>
                          <a:prstGeom prst="rect">
                            <a:avLst/>
                          </a:prstGeom>
                          <a:noFill/>
                          <a:ln>
                            <a:noFill/>
                          </a:ln>
                        </pic:spPr>
                      </pic:pic>
                    </a:graphicData>
                  </a:graphic>
                </wp:inline>
              </w:drawing>
            </w:r>
          </w:p>
          <w:p w14:paraId="53C1646A"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p>
          <w:p w14:paraId="3D36100C"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5E1283FC"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423E22A" wp14:editId="5FA83415">
                  <wp:extent cx="511810" cy="21336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810" cy="213360"/>
                          </a:xfrm>
                          <a:prstGeom prst="rect">
                            <a:avLst/>
                          </a:prstGeom>
                          <a:noFill/>
                        </pic:spPr>
                      </pic:pic>
                    </a:graphicData>
                  </a:graphic>
                </wp:inline>
              </w:drawing>
            </w:r>
            <w:r w:rsidRPr="003B14E9">
              <w:rPr>
                <w:rFonts w:ascii="Times New Roman" w:hAnsi="Times New Roman" w:cs="Times New Roman"/>
                <w:sz w:val="18"/>
                <w:szCs w:val="18"/>
              </w:rPr>
              <w:t xml:space="preserve"> = valoarea noţională efectivă a setului de acoperire a riscului j; și </w:t>
            </w:r>
          </w:p>
          <w:p w14:paraId="075E3C68"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Dj,k = valoarea noţională efectivă a benzii k a setului de acoperire a riscului j, calculată după cum urmează: </w:t>
            </w:r>
          </w:p>
          <w:p w14:paraId="45401DCC" w14:textId="77777777" w:rsidR="00AC2607" w:rsidRPr="003B14E9" w:rsidRDefault="00AC2607" w:rsidP="00AC260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2E2E6C4" wp14:editId="65BBBE93">
                  <wp:extent cx="1409700" cy="297797"/>
                  <wp:effectExtent l="0" t="0" r="0" b="7620"/>
                  <wp:docPr id="434157701" name="Picture 43415770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59844" cy="308390"/>
                          </a:xfrm>
                          <a:prstGeom prst="rect">
                            <a:avLst/>
                          </a:prstGeom>
                          <a:noFill/>
                          <a:ln>
                            <a:noFill/>
                          </a:ln>
                        </pic:spPr>
                      </pic:pic>
                    </a:graphicData>
                  </a:graphic>
                </wp:inline>
              </w:drawing>
            </w:r>
          </w:p>
          <w:p w14:paraId="47C407E8"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46701F3B" w14:textId="77777777" w:rsidR="00AC2607" w:rsidRPr="003B14E9" w:rsidRDefault="00AC2607" w:rsidP="00AC260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l = indicele care desemnează poziţia de risc (RiskPosition). </w:t>
            </w:r>
          </w:p>
          <w:p w14:paraId="36F19EFE" w14:textId="77777777" w:rsidR="00AC2607" w:rsidRPr="003B14E9" w:rsidRDefault="00AC2607" w:rsidP="00AC2607">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6E6D464B" w14:textId="6E8AF147" w:rsidR="00AC2607" w:rsidRPr="003B14E9" w:rsidRDefault="00AC2607" w:rsidP="00AC2607">
            <w:pPr>
              <w:jc w:val="both"/>
              <w:rPr>
                <w:sz w:val="18"/>
                <w:szCs w:val="18"/>
                <w:lang w:val="ro-MD"/>
              </w:rPr>
            </w:pPr>
            <w:r w:rsidRPr="003B14E9">
              <w:rPr>
                <w:sz w:val="18"/>
                <w:szCs w:val="18"/>
                <w:lang w:val="ro-MD"/>
              </w:rPr>
              <w:lastRenderedPageBreak/>
              <w:t>Compatibil</w:t>
            </w:r>
          </w:p>
        </w:tc>
        <w:tc>
          <w:tcPr>
            <w:tcW w:w="3041" w:type="dxa"/>
          </w:tcPr>
          <w:p w14:paraId="712EAB25" w14:textId="77777777" w:rsidR="00AC2607" w:rsidRPr="003B14E9" w:rsidRDefault="00AC2607" w:rsidP="00AC2607">
            <w:pPr>
              <w:rPr>
                <w:sz w:val="18"/>
                <w:szCs w:val="18"/>
                <w:highlight w:val="red"/>
                <w:lang w:val="ro-MD"/>
              </w:rPr>
            </w:pPr>
          </w:p>
        </w:tc>
        <w:tc>
          <w:tcPr>
            <w:tcW w:w="1055" w:type="dxa"/>
            <w:tcBorders>
              <w:top w:val="single" w:sz="4" w:space="0" w:color="auto"/>
              <w:bottom w:val="single" w:sz="4" w:space="0" w:color="auto"/>
            </w:tcBorders>
          </w:tcPr>
          <w:p w14:paraId="2668AD0B" w14:textId="77777777" w:rsidR="00AC2607" w:rsidRPr="003B14E9" w:rsidRDefault="00AC2607" w:rsidP="00AC2607">
            <w:pPr>
              <w:jc w:val="both"/>
              <w:rPr>
                <w:sz w:val="18"/>
                <w:szCs w:val="18"/>
                <w:lang w:val="ro-MD"/>
              </w:rPr>
            </w:pPr>
          </w:p>
        </w:tc>
        <w:tc>
          <w:tcPr>
            <w:tcW w:w="1330" w:type="dxa"/>
            <w:tcBorders>
              <w:bottom w:val="single" w:sz="4" w:space="0" w:color="auto"/>
            </w:tcBorders>
          </w:tcPr>
          <w:p w14:paraId="18C3498D" w14:textId="77777777" w:rsidR="00AC2607" w:rsidRPr="003B14E9" w:rsidRDefault="00AC2607" w:rsidP="00AC2607">
            <w:pPr>
              <w:jc w:val="both"/>
              <w:rPr>
                <w:sz w:val="18"/>
                <w:szCs w:val="18"/>
                <w:lang w:val="ro-MD"/>
              </w:rPr>
            </w:pPr>
          </w:p>
        </w:tc>
      </w:tr>
      <w:tr w:rsidR="008B2D5D" w:rsidRPr="003B14E9" w14:paraId="67E03D84" w14:textId="77777777" w:rsidTr="00604EF1">
        <w:trPr>
          <w:trHeight w:val="918"/>
        </w:trPr>
        <w:tc>
          <w:tcPr>
            <w:tcW w:w="4473" w:type="dxa"/>
          </w:tcPr>
          <w:p w14:paraId="65081CAD" w14:textId="00F17EF5"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lastRenderedPageBreak/>
              <w:t>Articolul 280b</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Majorarea aferentă categoriei de risc valutar</w:t>
            </w:r>
          </w:p>
          <w:p w14:paraId="0341124F"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(1) În sensul articolului 278, instituţiile calculează majorarea aferentă categoriei de risc valutar (</w:t>
            </w:r>
            <w:r w:rsidRPr="003B14E9">
              <w:rPr>
                <w:rFonts w:ascii="Times New Roman" w:hAnsi="Times New Roman"/>
                <w:i/>
                <w:iCs/>
                <w:color w:val="000000"/>
                <w:sz w:val="18"/>
                <w:szCs w:val="18"/>
              </w:rPr>
              <w:t xml:space="preserve">foreign exchange </w:t>
            </w:r>
            <w:r w:rsidRPr="003B14E9">
              <w:rPr>
                <w:rFonts w:ascii="Times New Roman" w:hAnsi="Times New Roman"/>
                <w:color w:val="000000"/>
                <w:sz w:val="18"/>
                <w:szCs w:val="18"/>
              </w:rPr>
              <w:t xml:space="preserve">– FX) pentru un anumit set de compensare după cum urmează: </w:t>
            </w:r>
          </w:p>
          <w:p w14:paraId="72682508" w14:textId="77777777" w:rsidR="008B2D5D" w:rsidRPr="003B14E9" w:rsidRDefault="008B2D5D" w:rsidP="008B2D5D">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E0E1CAF" wp14:editId="7E6F513E">
                  <wp:extent cx="1233577" cy="284335"/>
                  <wp:effectExtent l="0" t="0" r="5080" b="1905"/>
                  <wp:docPr id="191174438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58579" cy="290098"/>
                          </a:xfrm>
                          <a:prstGeom prst="rect">
                            <a:avLst/>
                          </a:prstGeom>
                          <a:noFill/>
                        </pic:spPr>
                      </pic:pic>
                    </a:graphicData>
                  </a:graphic>
                </wp:inline>
              </w:drawing>
            </w:r>
          </w:p>
          <w:p w14:paraId="206196ED"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AE7C59B"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AddOn </w:t>
            </w:r>
            <w:r w:rsidRPr="003B14E9">
              <w:rPr>
                <w:rFonts w:ascii="Times New Roman" w:hAnsi="Times New Roman"/>
                <w:color w:val="000000"/>
                <w:sz w:val="18"/>
                <w:szCs w:val="18"/>
                <w:vertAlign w:val="superscript"/>
              </w:rPr>
              <w:t>FX</w:t>
            </w:r>
            <w:r w:rsidRPr="003B14E9">
              <w:rPr>
                <w:rFonts w:ascii="Times New Roman" w:hAnsi="Times New Roman"/>
                <w:color w:val="000000"/>
                <w:sz w:val="18"/>
                <w:szCs w:val="18"/>
              </w:rPr>
              <w:t xml:space="preserve"> = majorarea aferentă categoriei de risc valutar; </w:t>
            </w:r>
          </w:p>
          <w:p w14:paraId="0894BE67"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j = indicele care desemnează seturile de acoperire a riscului valutar stabilite în conformitate cu articolul 277a alineatul (1) litera (b) și cu articolul 277a alineatul (2) pentru setul de compensare; și </w:t>
            </w:r>
          </w:p>
          <w:p w14:paraId="4D5928E5"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0F8CB87A" wp14:editId="248DEB07">
                  <wp:extent cx="501565" cy="189781"/>
                  <wp:effectExtent l="0" t="0" r="0" b="1270"/>
                  <wp:docPr id="15614566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961" cy="197498"/>
                          </a:xfrm>
                          <a:prstGeom prst="rect">
                            <a:avLst/>
                          </a:prstGeom>
                          <a:noFill/>
                        </pic:spPr>
                      </pic:pic>
                    </a:graphicData>
                  </a:graphic>
                </wp:inline>
              </w:drawing>
            </w:r>
            <w:r w:rsidRPr="003B14E9">
              <w:rPr>
                <w:rFonts w:ascii="Times New Roman" w:hAnsi="Times New Roman"/>
                <w:color w:val="000000"/>
                <w:sz w:val="18"/>
                <w:szCs w:val="18"/>
              </w:rPr>
              <w:t xml:space="preserve"> = majorarea aferentă categoriei de risc valutar pentru setul de acoperire a riscului j calculat în conformitate cu alineatul (2). </w:t>
            </w:r>
          </w:p>
          <w:p w14:paraId="7082AADC"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Instituţiile calculează majorarea aferentă categoriei de risc valutar pentru setul de acoperire a riscului j astfel: </w:t>
            </w:r>
          </w:p>
          <w:p w14:paraId="5FE1B9AC" w14:textId="77777777" w:rsidR="008B2D5D" w:rsidRPr="003B14E9" w:rsidRDefault="008B2D5D" w:rsidP="008B2D5D">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37E22B0" wp14:editId="4905AE27">
                  <wp:extent cx="2373667" cy="293298"/>
                  <wp:effectExtent l="0" t="0" r="0" b="0"/>
                  <wp:docPr id="3447678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29414" cy="300186"/>
                          </a:xfrm>
                          <a:prstGeom prst="rect">
                            <a:avLst/>
                          </a:prstGeom>
                          <a:noFill/>
                        </pic:spPr>
                      </pic:pic>
                    </a:graphicData>
                  </a:graphic>
                </wp:inline>
              </w:drawing>
            </w:r>
          </w:p>
          <w:p w14:paraId="719CF025"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2CB5B487"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є</w:t>
            </w:r>
            <w:r w:rsidRPr="003B14E9">
              <w:rPr>
                <w:rFonts w:ascii="Times New Roman" w:hAnsi="Times New Roman"/>
                <w:color w:val="000000"/>
                <w:sz w:val="18"/>
                <w:szCs w:val="18"/>
                <w:vertAlign w:val="subscript"/>
              </w:rPr>
              <w:t>j</w:t>
            </w:r>
            <w:r w:rsidRPr="003B14E9">
              <w:rPr>
                <w:rFonts w:ascii="Times New Roman" w:hAnsi="Times New Roman"/>
                <w:color w:val="000000"/>
                <w:sz w:val="18"/>
                <w:szCs w:val="18"/>
              </w:rPr>
              <w:t xml:space="preserve"> = coeficientul factorului impus de autorităţile de supraveghere aferent setului de acoperire a riscului pentru setul de acoperire a riscului j calculat în conformitate cu articolul 280; </w:t>
            </w:r>
          </w:p>
          <w:p w14:paraId="51DB66E6"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SF</w:t>
            </w:r>
            <w:r w:rsidRPr="003B14E9">
              <w:rPr>
                <w:rFonts w:ascii="Times New Roman" w:hAnsi="Times New Roman"/>
                <w:color w:val="000000"/>
                <w:sz w:val="18"/>
                <w:szCs w:val="18"/>
                <w:vertAlign w:val="superscript"/>
              </w:rPr>
              <w:t>FX</w:t>
            </w:r>
            <w:r w:rsidRPr="003B14E9">
              <w:rPr>
                <w:rFonts w:ascii="Times New Roman" w:hAnsi="Times New Roman"/>
                <w:color w:val="000000"/>
                <w:sz w:val="18"/>
                <w:szCs w:val="18"/>
              </w:rPr>
              <w:t xml:space="preserve"> = factorul impus de autorităţile de supraveghere pentru ca- tegoria de risc valutar cu o valoare egală cu 4 %; </w:t>
            </w:r>
          </w:p>
          <w:p w14:paraId="690766CF"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9F6DD84" wp14:editId="0E9CF882">
                  <wp:extent cx="595223" cy="238089"/>
                  <wp:effectExtent l="0" t="0" r="0" b="0"/>
                  <wp:docPr id="99185610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2168" cy="248867"/>
                          </a:xfrm>
                          <a:prstGeom prst="rect">
                            <a:avLst/>
                          </a:prstGeom>
                          <a:noFill/>
                        </pic:spPr>
                      </pic:pic>
                    </a:graphicData>
                  </a:graphic>
                </wp:inline>
              </w:drawing>
            </w:r>
            <w:r w:rsidRPr="003B14E9">
              <w:rPr>
                <w:rFonts w:ascii="Times New Roman" w:hAnsi="Times New Roman"/>
                <w:color w:val="000000"/>
                <w:sz w:val="18"/>
                <w:szCs w:val="18"/>
              </w:rPr>
              <w:t xml:space="preserve">= valoarea noţională efectivă a setului de acoperire a riscului j, calculată după cum urmează: </w:t>
            </w:r>
          </w:p>
          <w:p w14:paraId="5C000A8F" w14:textId="77777777" w:rsidR="008B2D5D" w:rsidRPr="003B14E9" w:rsidRDefault="008B2D5D" w:rsidP="008B2D5D">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6F647E7" wp14:editId="213136FF">
                  <wp:extent cx="2499401" cy="319177"/>
                  <wp:effectExtent l="0" t="0" r="0" b="5080"/>
                  <wp:docPr id="4958700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4944" cy="330101"/>
                          </a:xfrm>
                          <a:prstGeom prst="rect">
                            <a:avLst/>
                          </a:prstGeom>
                          <a:noFill/>
                        </pic:spPr>
                      </pic:pic>
                    </a:graphicData>
                  </a:graphic>
                </wp:inline>
              </w:drawing>
            </w:r>
          </w:p>
          <w:p w14:paraId="08A1F75B" w14:textId="77777777" w:rsidR="008B2D5D" w:rsidRPr="003B14E9" w:rsidRDefault="008B2D5D" w:rsidP="008B2D5D">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DCF4FA3" w14:textId="489B04A5" w:rsidR="008B2D5D" w:rsidRPr="003B14E9" w:rsidRDefault="008B2D5D" w:rsidP="008B2D5D">
            <w:pPr>
              <w:pStyle w:val="CM4"/>
              <w:spacing w:before="60" w:after="60"/>
              <w:rPr>
                <w:rFonts w:ascii="Times New Roman" w:hAnsi="Times New Roman"/>
                <w:i/>
                <w:iCs/>
                <w:color w:val="000000"/>
                <w:sz w:val="20"/>
                <w:szCs w:val="20"/>
              </w:rPr>
            </w:pPr>
            <w:r w:rsidRPr="003B14E9">
              <w:rPr>
                <w:rFonts w:ascii="Times New Roman" w:hAnsi="Times New Roman"/>
                <w:color w:val="000000"/>
                <w:sz w:val="18"/>
                <w:szCs w:val="18"/>
              </w:rPr>
              <w:t>l = indicele care desemnează poziţia de risc (RiskPosition).</w:t>
            </w:r>
          </w:p>
        </w:tc>
        <w:tc>
          <w:tcPr>
            <w:tcW w:w="4425" w:type="dxa"/>
            <w:shd w:val="clear" w:color="auto" w:fill="auto"/>
          </w:tcPr>
          <w:p w14:paraId="78179273" w14:textId="77777777" w:rsidR="008B2D5D" w:rsidRPr="003B14E9" w:rsidRDefault="008B2D5D" w:rsidP="008B2D5D">
            <w:pPr>
              <w:autoSpaceDE w:val="0"/>
              <w:autoSpaceDN w:val="0"/>
              <w:adjustRightInd w:val="0"/>
              <w:spacing w:before="60" w:after="60"/>
              <w:ind w:firstLine="567"/>
              <w:jc w:val="center"/>
              <w:rPr>
                <w:rFonts w:eastAsiaTheme="minorHAnsi"/>
                <w:i/>
                <w:iCs/>
                <w:color w:val="000000"/>
                <w:sz w:val="18"/>
                <w:szCs w:val="18"/>
                <w:lang w:val="ro-MD" w:eastAsia="en-US"/>
                <w14:ligatures w14:val="standardContextual"/>
              </w:rPr>
            </w:pPr>
            <w:r w:rsidRPr="003B14E9">
              <w:rPr>
                <w:rFonts w:eastAsiaTheme="minorHAnsi"/>
                <w:i/>
                <w:iCs/>
                <w:color w:val="000000"/>
                <w:sz w:val="18"/>
                <w:szCs w:val="18"/>
                <w:lang w:val="ro-MD" w:eastAsia="en-US"/>
                <w14:ligatures w14:val="standardContextual"/>
              </w:rPr>
              <w:lastRenderedPageBreak/>
              <w:t>Secțiunea a 13-a</w:t>
            </w:r>
          </w:p>
          <w:p w14:paraId="3B5A405C" w14:textId="77777777" w:rsidR="008B2D5D" w:rsidRPr="003B14E9" w:rsidRDefault="008B2D5D" w:rsidP="008B2D5D">
            <w:pPr>
              <w:autoSpaceDE w:val="0"/>
              <w:autoSpaceDN w:val="0"/>
              <w:adjustRightInd w:val="0"/>
              <w:jc w:val="center"/>
              <w:rPr>
                <w:rFonts w:eastAsiaTheme="minorHAnsi"/>
                <w:b/>
                <w:bCs/>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Majorarea aferentă categoriei de risc valutar</w:t>
            </w:r>
          </w:p>
          <w:p w14:paraId="1063E98F"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66.</w:t>
            </w:r>
            <w:r w:rsidRPr="003B14E9">
              <w:rPr>
                <w:rFonts w:eastAsiaTheme="minorHAnsi"/>
                <w:color w:val="000000"/>
                <w:sz w:val="18"/>
                <w:szCs w:val="18"/>
                <w:lang w:val="ro-MD" w:eastAsia="en-US"/>
                <w14:ligatures w14:val="standardContextual"/>
              </w:rPr>
              <w:t xml:space="preserve"> În sensul punctelor 51-53, băncile calculează majorarea aferentă categoriei de risc valutar (foreign exchange – FX) pentru un anumit set de compensare după cum urmează: </w:t>
            </w:r>
          </w:p>
          <w:p w14:paraId="6403C825" w14:textId="77777777" w:rsidR="008B2D5D" w:rsidRPr="003B14E9" w:rsidRDefault="008B2D5D" w:rsidP="008B2D5D">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11DE14C" wp14:editId="7258CD30">
                  <wp:extent cx="1552575" cy="357863"/>
                  <wp:effectExtent l="0" t="0" r="0" b="4445"/>
                  <wp:docPr id="801053723" name="Picture 80105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2180" cy="364687"/>
                          </a:xfrm>
                          <a:prstGeom prst="rect">
                            <a:avLst/>
                          </a:prstGeom>
                          <a:noFill/>
                        </pic:spPr>
                      </pic:pic>
                    </a:graphicData>
                  </a:graphic>
                </wp:inline>
              </w:drawing>
            </w:r>
          </w:p>
          <w:p w14:paraId="0022324D"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3AF054F1"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AddOn </w:t>
            </w:r>
            <w:r w:rsidRPr="003B14E9">
              <w:rPr>
                <w:rFonts w:eastAsiaTheme="minorHAnsi"/>
                <w:color w:val="000000"/>
                <w:sz w:val="18"/>
                <w:szCs w:val="18"/>
                <w:vertAlign w:val="superscript"/>
                <w:lang w:val="ro-MD" w:eastAsia="en-US"/>
                <w14:ligatures w14:val="standardContextual"/>
              </w:rPr>
              <w:t>FX</w:t>
            </w:r>
            <w:r w:rsidRPr="003B14E9">
              <w:rPr>
                <w:rFonts w:eastAsiaTheme="minorHAnsi"/>
                <w:color w:val="000000"/>
                <w:sz w:val="18"/>
                <w:szCs w:val="18"/>
                <w:lang w:val="ro-MD" w:eastAsia="en-US"/>
                <w14:ligatures w14:val="standardContextual"/>
              </w:rPr>
              <w:t xml:space="preserve"> = majorarea aferentă categoriei de risc valutar; </w:t>
            </w:r>
          </w:p>
          <w:p w14:paraId="30F77865"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lastRenderedPageBreak/>
              <w:t xml:space="preserve">j = indicele care desemnează seturile de acoperire a riscului valutar stabilite în conformitate cu punctul 48 subpunctul 2) și cu punctul 49 pentru setul de compensare; și </w:t>
            </w:r>
          </w:p>
          <w:p w14:paraId="20D29090"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noProof/>
                <w:color w:val="000000"/>
                <w:sz w:val="18"/>
                <w:szCs w:val="18"/>
                <w:lang w:val="en-US" w:eastAsia="en-US"/>
                <w14:ligatures w14:val="standardContextual"/>
              </w:rPr>
              <w:drawing>
                <wp:inline distT="0" distB="0" distL="0" distR="0" wp14:anchorId="53C4AD90" wp14:editId="3B434DBF">
                  <wp:extent cx="638355" cy="241540"/>
                  <wp:effectExtent l="0" t="0" r="0" b="6350"/>
                  <wp:docPr id="16827290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2646" cy="246947"/>
                          </a:xfrm>
                          <a:prstGeom prst="rect">
                            <a:avLst/>
                          </a:prstGeom>
                          <a:noFill/>
                        </pic:spPr>
                      </pic:pic>
                    </a:graphicData>
                  </a:graphic>
                </wp:inline>
              </w:drawing>
            </w:r>
            <w:r w:rsidRPr="003B14E9">
              <w:rPr>
                <w:rFonts w:eastAsiaTheme="minorHAnsi"/>
                <w:color w:val="000000"/>
                <w:sz w:val="18"/>
                <w:szCs w:val="18"/>
                <w:lang w:val="ro-MD" w:eastAsia="en-US"/>
                <w14:ligatures w14:val="standardContextual"/>
              </w:rPr>
              <w:t xml:space="preserve"> = majorarea aferentă categoriei de risc valutar pentru setul de acoperire a riscului j calculat în conformitate cu punctul 64. </w:t>
            </w:r>
          </w:p>
          <w:p w14:paraId="49009DEF"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67.</w:t>
            </w:r>
            <w:r w:rsidRPr="003B14E9">
              <w:rPr>
                <w:rFonts w:eastAsiaTheme="minorHAnsi"/>
                <w:color w:val="000000"/>
                <w:sz w:val="18"/>
                <w:szCs w:val="18"/>
                <w:lang w:val="ro-MD" w:eastAsia="en-US"/>
                <w14:ligatures w14:val="standardContextual"/>
              </w:rPr>
              <w:t xml:space="preserve"> Băncile calculează majorarea aferentă categoriei de risc valutar pentru setul de acoperire a riscului j astfel: </w:t>
            </w:r>
          </w:p>
          <w:p w14:paraId="37B7A773" w14:textId="77777777" w:rsidR="008B2D5D" w:rsidRPr="003B14E9" w:rsidRDefault="008B2D5D" w:rsidP="008B2D5D">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00A6976" wp14:editId="4A7C9BDF">
                  <wp:extent cx="2235495" cy="276225"/>
                  <wp:effectExtent l="0" t="0" r="0" b="0"/>
                  <wp:docPr id="854601123" name="Picture 85460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64543" cy="279814"/>
                          </a:xfrm>
                          <a:prstGeom prst="rect">
                            <a:avLst/>
                          </a:prstGeom>
                          <a:noFill/>
                        </pic:spPr>
                      </pic:pic>
                    </a:graphicData>
                  </a:graphic>
                </wp:inline>
              </w:drawing>
            </w:r>
          </w:p>
          <w:p w14:paraId="1B9FC783" w14:textId="77777777" w:rsidR="008B2D5D" w:rsidRPr="003B14E9" w:rsidRDefault="008B2D5D" w:rsidP="008B2D5D">
            <w:pPr>
              <w:autoSpaceDE w:val="0"/>
              <w:autoSpaceDN w:val="0"/>
              <w:adjustRightInd w:val="0"/>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5BB5B32C"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єj = coeficientul factorului impus de Banca Națională a Moldovei aferent setului de acoperire a riscului pentru setul de acoperire a riscului j calculat în conformitate cu punctul 62; </w:t>
            </w:r>
          </w:p>
          <w:p w14:paraId="64A77CDE" w14:textId="77777777" w:rsidR="008B2D5D" w:rsidRPr="003B14E9" w:rsidRDefault="008B2D5D" w:rsidP="008B2D5D">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SF</w:t>
            </w:r>
            <w:r w:rsidRPr="003B14E9">
              <w:rPr>
                <w:rFonts w:eastAsiaTheme="minorHAnsi"/>
                <w:color w:val="000000"/>
                <w:sz w:val="18"/>
                <w:szCs w:val="18"/>
                <w:vertAlign w:val="superscript"/>
                <w:lang w:val="ro-MD" w:eastAsia="en-US"/>
                <w14:ligatures w14:val="standardContextual"/>
              </w:rPr>
              <w:t>FX</w:t>
            </w:r>
            <w:r w:rsidRPr="003B14E9">
              <w:rPr>
                <w:rFonts w:eastAsiaTheme="minorHAnsi"/>
                <w:color w:val="000000"/>
                <w:sz w:val="18"/>
                <w:szCs w:val="18"/>
                <w:lang w:val="ro-MD" w:eastAsia="en-US"/>
                <w14:ligatures w14:val="standardContextual"/>
              </w:rPr>
              <w:t xml:space="preserve"> = factorul impus de Banca Națională a Moldovei pentru categoria de risc valutar cu o valoare egală cu 4 %; </w:t>
            </w:r>
          </w:p>
          <w:p w14:paraId="086E4158" w14:textId="77777777" w:rsidR="008B2D5D" w:rsidRPr="003B14E9" w:rsidRDefault="008B2D5D" w:rsidP="008B2D5D">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974A935" wp14:editId="7B8C1F02">
                  <wp:extent cx="595223" cy="238089"/>
                  <wp:effectExtent l="0" t="0" r="0" b="0"/>
                  <wp:docPr id="1186302501" name="Picture 11863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2168" cy="248867"/>
                          </a:xfrm>
                          <a:prstGeom prst="rect">
                            <a:avLst/>
                          </a:prstGeom>
                          <a:noFill/>
                        </pic:spPr>
                      </pic:pic>
                    </a:graphicData>
                  </a:graphic>
                </wp:inline>
              </w:drawing>
            </w:r>
            <w:r w:rsidRPr="003B14E9">
              <w:rPr>
                <w:rFonts w:ascii="Times New Roman" w:hAnsi="Times New Roman" w:cs="Times New Roman"/>
                <w:sz w:val="18"/>
                <w:szCs w:val="18"/>
              </w:rPr>
              <w:t xml:space="preserve"> = valoarea noţională efectivă a setului de acoperire a riscului j, calculată după cum urmează: </w:t>
            </w:r>
          </w:p>
          <w:p w14:paraId="08CD87A4" w14:textId="77777777" w:rsidR="008B2D5D" w:rsidRPr="003B14E9" w:rsidRDefault="008B2D5D" w:rsidP="008B2D5D">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98E77E0" wp14:editId="7999B8CB">
                  <wp:extent cx="2163054" cy="276225"/>
                  <wp:effectExtent l="0" t="0" r="8890" b="0"/>
                  <wp:docPr id="664401372" name="Picture 66440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28071" cy="284528"/>
                          </a:xfrm>
                          <a:prstGeom prst="rect">
                            <a:avLst/>
                          </a:prstGeom>
                          <a:noFill/>
                        </pic:spPr>
                      </pic:pic>
                    </a:graphicData>
                  </a:graphic>
                </wp:inline>
              </w:drawing>
            </w:r>
          </w:p>
          <w:p w14:paraId="4FD95AAC" w14:textId="77777777" w:rsidR="008B2D5D" w:rsidRPr="003B14E9" w:rsidRDefault="008B2D5D" w:rsidP="008B2D5D">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607845E2" w14:textId="77777777" w:rsidR="008B2D5D" w:rsidRPr="003B14E9" w:rsidRDefault="008B2D5D" w:rsidP="008B2D5D">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l = indicele care desemnează poziţia de risc (RiskPosition). </w:t>
            </w:r>
          </w:p>
          <w:p w14:paraId="752EFCF9" w14:textId="77777777" w:rsidR="008B2D5D" w:rsidRPr="003B14E9" w:rsidRDefault="008B2D5D" w:rsidP="008B2D5D">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26ABD7B7" w14:textId="19533D95" w:rsidR="008B2D5D" w:rsidRPr="003B14E9" w:rsidRDefault="008B2D5D" w:rsidP="008B2D5D">
            <w:pPr>
              <w:jc w:val="both"/>
              <w:rPr>
                <w:sz w:val="18"/>
                <w:szCs w:val="18"/>
                <w:lang w:val="ro-MD"/>
              </w:rPr>
            </w:pPr>
            <w:r w:rsidRPr="003B14E9">
              <w:rPr>
                <w:sz w:val="18"/>
                <w:szCs w:val="18"/>
                <w:lang w:val="ro-MD"/>
              </w:rPr>
              <w:lastRenderedPageBreak/>
              <w:t>Compatibil</w:t>
            </w:r>
          </w:p>
        </w:tc>
        <w:tc>
          <w:tcPr>
            <w:tcW w:w="3041" w:type="dxa"/>
          </w:tcPr>
          <w:p w14:paraId="297F59AE" w14:textId="77777777" w:rsidR="008B2D5D" w:rsidRPr="003B14E9" w:rsidRDefault="008B2D5D" w:rsidP="008B2D5D">
            <w:pPr>
              <w:rPr>
                <w:sz w:val="18"/>
                <w:szCs w:val="18"/>
                <w:highlight w:val="red"/>
                <w:lang w:val="ro-MD"/>
              </w:rPr>
            </w:pPr>
          </w:p>
        </w:tc>
        <w:tc>
          <w:tcPr>
            <w:tcW w:w="1055" w:type="dxa"/>
            <w:tcBorders>
              <w:top w:val="single" w:sz="4" w:space="0" w:color="auto"/>
              <w:bottom w:val="single" w:sz="4" w:space="0" w:color="auto"/>
            </w:tcBorders>
          </w:tcPr>
          <w:p w14:paraId="15A025A8" w14:textId="77777777" w:rsidR="008B2D5D" w:rsidRPr="003B14E9" w:rsidRDefault="008B2D5D" w:rsidP="008B2D5D">
            <w:pPr>
              <w:jc w:val="both"/>
              <w:rPr>
                <w:sz w:val="18"/>
                <w:szCs w:val="18"/>
                <w:lang w:val="ro-MD"/>
              </w:rPr>
            </w:pPr>
          </w:p>
        </w:tc>
        <w:tc>
          <w:tcPr>
            <w:tcW w:w="1330" w:type="dxa"/>
            <w:tcBorders>
              <w:bottom w:val="single" w:sz="4" w:space="0" w:color="auto"/>
            </w:tcBorders>
          </w:tcPr>
          <w:p w14:paraId="3BD14F69" w14:textId="77777777" w:rsidR="008B2D5D" w:rsidRPr="003B14E9" w:rsidRDefault="008B2D5D" w:rsidP="008B2D5D">
            <w:pPr>
              <w:jc w:val="both"/>
              <w:rPr>
                <w:sz w:val="18"/>
                <w:szCs w:val="18"/>
                <w:lang w:val="ro-MD"/>
              </w:rPr>
            </w:pPr>
          </w:p>
        </w:tc>
      </w:tr>
      <w:tr w:rsidR="00DA1687" w:rsidRPr="003B14E9" w14:paraId="585769BF" w14:textId="77777777" w:rsidTr="00604EF1">
        <w:trPr>
          <w:trHeight w:val="918"/>
        </w:trPr>
        <w:tc>
          <w:tcPr>
            <w:tcW w:w="4473" w:type="dxa"/>
          </w:tcPr>
          <w:p w14:paraId="1F07D8DA" w14:textId="599F054E"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t>Articolul 280c</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Majorarea aferentă categoriei de risc de credit</w:t>
            </w:r>
          </w:p>
          <w:p w14:paraId="0B16DCAB"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(1) În sensul alineatului (2), instituţiile stabilesc entităţile de referinţă relevante privind creditul pentru setul de compensare în conformitate cu următoarele: </w:t>
            </w:r>
          </w:p>
          <w:p w14:paraId="071C4BD0" w14:textId="101D017F"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 pentru fiecare emitent al unui instrument de datorie de referinţă care este suport al unei tranzacţii având la bază o singură semnătură atribuite categoriei de risc de credit există o singură entitate de referinţă privind creditul; tranzacţiile având la bază o singură semnătură sunt atribuite aceleiași entităţi de referinţă privind creditul numai în cazul în care instrumentul de datorie de referinţă care este suport al tranzacţiilor respective este emis de același emitent;</w:t>
            </w:r>
          </w:p>
          <w:p w14:paraId="63952D2C"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pentru fiecare grup de instrumente de datorie de referinţă sau de instrumente financiare derivate de credit având la bază o singură semnătură care sunt suport al unei tranzacţii având la bază mai multe semnături atribuite categoriei de risc de credit există o singură entitate de referinţă privind creditul; tranzacţiile având la bază mai multe semnături sunt atribuite aceleiași entităţi de referinţă privind creditul numai în cazul în care grupul de instrumente de datorie de referinţă sau de instrumente financiare derivate de credit având la bază o singură semnătură care sunt suport al tranzacţiilor respective au aceleași componente. </w:t>
            </w:r>
          </w:p>
          <w:p w14:paraId="6CF2DD2E"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În sensul articolului 278, instituţiile calculează majorarea aferentă categoriei de risc de credit pentru un anumit set de compensare după cum urmează: </w:t>
            </w:r>
          </w:p>
          <w:p w14:paraId="3C1C12A4"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4249BC9" wp14:editId="3B796C80">
                  <wp:extent cx="2139351" cy="417591"/>
                  <wp:effectExtent l="0" t="0" r="0" b="1905"/>
                  <wp:docPr id="17067336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3353" cy="430084"/>
                          </a:xfrm>
                          <a:prstGeom prst="rect">
                            <a:avLst/>
                          </a:prstGeom>
                          <a:noFill/>
                        </pic:spPr>
                      </pic:pic>
                    </a:graphicData>
                  </a:graphic>
                </wp:inline>
              </w:drawing>
            </w:r>
          </w:p>
          <w:p w14:paraId="1C03EAD5"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D54AB45"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w:t>
            </w:r>
            <w:r w:rsidRPr="003B14E9">
              <w:rPr>
                <w:rFonts w:ascii="Times New Roman" w:hAnsi="Times New Roman"/>
                <w:color w:val="000000"/>
                <w:sz w:val="18"/>
                <w:szCs w:val="18"/>
                <w:vertAlign w:val="superscript"/>
              </w:rPr>
              <w:t>Credit</w:t>
            </w:r>
            <w:r w:rsidRPr="003B14E9">
              <w:rPr>
                <w:rFonts w:ascii="Times New Roman" w:hAnsi="Times New Roman"/>
                <w:color w:val="000000"/>
                <w:sz w:val="18"/>
                <w:szCs w:val="18"/>
              </w:rPr>
              <w:t xml:space="preserve"> = majorarea aferentă categoriei de risc de credit; </w:t>
            </w:r>
          </w:p>
          <w:p w14:paraId="143B5142"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j = indicele care desemnează toate seturile de acoperire a riscului de credit stabilite în conformitate cu articolul 277a </w:t>
            </w:r>
            <w:r w:rsidRPr="003B14E9">
              <w:rPr>
                <w:rFonts w:ascii="Times New Roman" w:hAnsi="Times New Roman"/>
                <w:color w:val="000000"/>
                <w:sz w:val="18"/>
                <w:szCs w:val="18"/>
              </w:rPr>
              <w:lastRenderedPageBreak/>
              <w:t xml:space="preserve">alineatul (1) litera (c) și cu articolul 277a alineatul (2) pentru setul de compensare; și </w:t>
            </w:r>
          </w:p>
          <w:p w14:paraId="42A906A0"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3C44355B" wp14:editId="1FBFA925">
                  <wp:extent cx="690113" cy="216041"/>
                  <wp:effectExtent l="0" t="0" r="0" b="0"/>
                  <wp:docPr id="1727405661"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8897" cy="225052"/>
                          </a:xfrm>
                          <a:prstGeom prst="rect">
                            <a:avLst/>
                          </a:prstGeom>
                          <a:noFill/>
                          <a:ln>
                            <a:noFill/>
                          </a:ln>
                        </pic:spPr>
                      </pic:pic>
                    </a:graphicData>
                  </a:graphic>
                </wp:inline>
              </w:drawing>
            </w:r>
            <w:r w:rsidRPr="003B14E9">
              <w:rPr>
                <w:rFonts w:ascii="Times New Roman" w:hAnsi="Times New Roman"/>
                <w:color w:val="000000"/>
                <w:sz w:val="18"/>
                <w:szCs w:val="18"/>
              </w:rPr>
              <w:t xml:space="preserve"> = majorarea aferentă categoriei de risc de credit pentru setul de acoperire a riscului j calculat în conformitate cu alineatul (3). </w:t>
            </w:r>
          </w:p>
          <w:p w14:paraId="6970040F" w14:textId="43CF1E02" w:rsidR="00DA1687" w:rsidRPr="003B14E9" w:rsidRDefault="00DA1687" w:rsidP="00DA1687">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(3) Instituţiile calculează majorarea aferentă categoriei de risc de credit pentru setul de acoperire a riscului j după cum urmează: </w:t>
            </w:r>
          </w:p>
          <w:p w14:paraId="0958AEC9"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6C8B60D" wp14:editId="2CFCE0BF">
                  <wp:extent cx="2717081" cy="293298"/>
                  <wp:effectExtent l="0" t="0" r="0" b="0"/>
                  <wp:docPr id="1245691354"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20758" cy="304489"/>
                          </a:xfrm>
                          <a:prstGeom prst="rect">
                            <a:avLst/>
                          </a:prstGeom>
                          <a:noFill/>
                          <a:ln>
                            <a:noFill/>
                          </a:ln>
                        </pic:spPr>
                      </pic:pic>
                    </a:graphicData>
                  </a:graphic>
                </wp:inline>
              </w:drawing>
            </w:r>
          </w:p>
          <w:p w14:paraId="2A3607BF"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75D40319"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7C46D8EC" wp14:editId="44FCD842">
                  <wp:extent cx="689610" cy="215884"/>
                  <wp:effectExtent l="0" t="0" r="0" b="0"/>
                  <wp:docPr id="937377684"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05628" cy="220898"/>
                          </a:xfrm>
                          <a:prstGeom prst="rect">
                            <a:avLst/>
                          </a:prstGeom>
                          <a:noFill/>
                          <a:ln>
                            <a:noFill/>
                          </a:ln>
                        </pic:spPr>
                      </pic:pic>
                    </a:graphicData>
                  </a:graphic>
                </wp:inline>
              </w:drawing>
            </w:r>
            <w:r w:rsidRPr="003B14E9">
              <w:rPr>
                <w:rFonts w:ascii="Times New Roman" w:hAnsi="Times New Roman"/>
                <w:color w:val="000000"/>
                <w:sz w:val="18"/>
                <w:szCs w:val="18"/>
              </w:rPr>
              <w:t xml:space="preserve"> = majorarea aferentă categoriei de risc de credit pe- ntru setul de acoperire a riscului j; </w:t>
            </w:r>
          </w:p>
          <w:p w14:paraId="6187D8AE"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є</w:t>
            </w:r>
            <w:r w:rsidRPr="003B14E9">
              <w:rPr>
                <w:rFonts w:ascii="Times New Roman" w:hAnsi="Times New Roman"/>
                <w:color w:val="000000"/>
                <w:sz w:val="18"/>
                <w:szCs w:val="18"/>
                <w:vertAlign w:val="subscript"/>
              </w:rPr>
              <w:t>j</w:t>
            </w:r>
            <w:r w:rsidRPr="003B14E9">
              <w:rPr>
                <w:rFonts w:ascii="Times New Roman" w:hAnsi="Times New Roman"/>
                <w:color w:val="000000"/>
                <w:sz w:val="18"/>
                <w:szCs w:val="18"/>
              </w:rPr>
              <w:t xml:space="preserve"> = coeficientul factorului impus de autorităţile de su- praveghere aferent setului de acoperire a riscului pentru setul de acoperire a riscului j determinat în conformitate cu articolul 280; </w:t>
            </w:r>
          </w:p>
          <w:p w14:paraId="33907C21"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k = indicele care desemnează entităţile de referinţă privind creditul ale setului de compensare stabilit în conformitate cu alineatul (1); </w:t>
            </w:r>
          </w:p>
          <w:p w14:paraId="48F6CD90"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3014600" wp14:editId="52E748AA">
                  <wp:extent cx="517585" cy="283608"/>
                  <wp:effectExtent l="0" t="0" r="0" b="2540"/>
                  <wp:docPr id="17425305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1977" cy="291494"/>
                          </a:xfrm>
                          <a:prstGeom prst="rect">
                            <a:avLst/>
                          </a:prstGeom>
                          <a:noFill/>
                        </pic:spPr>
                      </pic:pic>
                    </a:graphicData>
                  </a:graphic>
                </wp:inline>
              </w:drawing>
            </w:r>
            <w:r w:rsidRPr="003B14E9">
              <w:rPr>
                <w:rFonts w:ascii="Times New Roman" w:hAnsi="Times New Roman"/>
                <w:color w:val="000000"/>
                <w:sz w:val="18"/>
                <w:szCs w:val="18"/>
              </w:rPr>
              <w:t xml:space="preserve"> = factorul de corelare al entităţii de referinţă privind creditul „k”; atunci când entitatea de referinţă privind creditul „k” s-a stabilit în conformitate cu alineatul (1) litera (a),</w:t>
            </w:r>
          </w:p>
          <w:p w14:paraId="3F38E368"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0DDB735C" wp14:editId="36E53C7B">
                  <wp:extent cx="1022878" cy="267419"/>
                  <wp:effectExtent l="0" t="0" r="6350" b="0"/>
                  <wp:docPr id="119539447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2611" cy="272578"/>
                          </a:xfrm>
                          <a:prstGeom prst="rect">
                            <a:avLst/>
                          </a:prstGeom>
                          <a:noFill/>
                        </pic:spPr>
                      </pic:pic>
                    </a:graphicData>
                  </a:graphic>
                </wp:inline>
              </w:drawing>
            </w:r>
          </w:p>
          <w:p w14:paraId="0478DB4F" w14:textId="77777777" w:rsidR="00DA1687" w:rsidRPr="003B14E9" w:rsidRDefault="00DA1687" w:rsidP="00DA1687">
            <w:pPr>
              <w:pStyle w:val="CM4"/>
              <w:spacing w:before="60" w:after="60"/>
              <w:rPr>
                <w:rFonts w:ascii="Times New Roman" w:hAnsi="Times New Roman"/>
                <w:color w:val="000000"/>
                <w:sz w:val="18"/>
                <w:szCs w:val="18"/>
              </w:rPr>
            </w:pPr>
          </w:p>
          <w:p w14:paraId="2B8226F7"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atunci când entitatea de referinţă privind cr- editul „k” s-a stabilit în conformitate cu alineatul (1) litera (b)</w:t>
            </w:r>
          </w:p>
          <w:p w14:paraId="3B1D8D39"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lastRenderedPageBreak/>
              <w:drawing>
                <wp:inline distT="0" distB="0" distL="0" distR="0" wp14:anchorId="134E0D08" wp14:editId="3456B749">
                  <wp:extent cx="1009290" cy="263867"/>
                  <wp:effectExtent l="0" t="0" r="635" b="3175"/>
                  <wp:docPr id="8366292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18919" cy="266384"/>
                          </a:xfrm>
                          <a:prstGeom prst="rect">
                            <a:avLst/>
                          </a:prstGeom>
                          <a:noFill/>
                        </pic:spPr>
                      </pic:pic>
                    </a:graphicData>
                  </a:graphic>
                </wp:inline>
              </w:drawing>
            </w:r>
          </w:p>
          <w:p w14:paraId="77BFA616"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 și </w:t>
            </w:r>
          </w:p>
          <w:p w14:paraId="0E5386CB"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AddOn(Entitate</w:t>
            </w:r>
            <w:r w:rsidRPr="003B14E9">
              <w:rPr>
                <w:rFonts w:ascii="Times New Roman" w:hAnsi="Times New Roman"/>
                <w:color w:val="000000"/>
                <w:sz w:val="18"/>
                <w:szCs w:val="18"/>
                <w:vertAlign w:val="subscript"/>
              </w:rPr>
              <w:t>k</w:t>
            </w:r>
            <w:r w:rsidRPr="003B14E9">
              <w:rPr>
                <w:rFonts w:ascii="Times New Roman" w:hAnsi="Times New Roman"/>
                <w:color w:val="000000"/>
                <w:sz w:val="18"/>
                <w:szCs w:val="18"/>
              </w:rPr>
              <w:t xml:space="preserve">) = majorarea pentru entitatea de referinţă privind creditul k determinată în conformitate cu alineatul (4). </w:t>
            </w:r>
          </w:p>
          <w:p w14:paraId="3566C355"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(4) Instituţiile calculează majorarea pentru entitatea de referinţă privind creditul k după cum urmează: </w:t>
            </w:r>
          </w:p>
          <w:p w14:paraId="42606673"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DC23B04" wp14:editId="1F5EFDF1">
                  <wp:extent cx="2070340" cy="228735"/>
                  <wp:effectExtent l="0" t="0" r="6350" b="0"/>
                  <wp:docPr id="15792871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49205" cy="237448"/>
                          </a:xfrm>
                          <a:prstGeom prst="rect">
                            <a:avLst/>
                          </a:prstGeom>
                          <a:noFill/>
                        </pic:spPr>
                      </pic:pic>
                    </a:graphicData>
                  </a:graphic>
                </wp:inline>
              </w:drawing>
            </w:r>
          </w:p>
          <w:p w14:paraId="07472A10"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0256AF3" w14:textId="77777777" w:rsidR="00DA1687" w:rsidRPr="003B14E9" w:rsidRDefault="00DA1687" w:rsidP="00DA1687">
            <w:pPr>
              <w:pStyle w:val="CM4"/>
              <w:spacing w:before="60" w:after="60"/>
              <w:rPr>
                <w:rFonts w:ascii="Times New Roman" w:hAnsi="Times New Roman"/>
                <w:b/>
                <w:bCs/>
                <w:color w:val="000000"/>
                <w:sz w:val="18"/>
                <w:szCs w:val="18"/>
              </w:rPr>
            </w:pPr>
            <w:r w:rsidRPr="003B14E9">
              <w:rPr>
                <w:rFonts w:ascii="Times New Roman" w:hAnsi="Times New Roman"/>
                <w:noProof/>
                <w:color w:val="000000"/>
                <w:sz w:val="18"/>
                <w:szCs w:val="18"/>
              </w:rPr>
              <w:drawing>
                <wp:inline distT="0" distB="0" distL="0" distR="0" wp14:anchorId="1A40D933" wp14:editId="44D93A6A">
                  <wp:extent cx="672860" cy="200317"/>
                  <wp:effectExtent l="0" t="0" r="0" b="9525"/>
                  <wp:docPr id="106155715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1320" cy="202836"/>
                          </a:xfrm>
                          <a:prstGeom prst="rect">
                            <a:avLst/>
                          </a:prstGeom>
                          <a:noFill/>
                        </pic:spPr>
                      </pic:pic>
                    </a:graphicData>
                  </a:graphic>
                </wp:inline>
              </w:drawing>
            </w:r>
            <w:r w:rsidRPr="003B14E9">
              <w:rPr>
                <w:rFonts w:ascii="Times New Roman" w:hAnsi="Times New Roman"/>
                <w:color w:val="000000"/>
                <w:sz w:val="18"/>
                <w:szCs w:val="18"/>
              </w:rPr>
              <w:t xml:space="preserve">= valoarea noţională efectivă a entităţii de referinţă privind creditul k, calculată după cum urmează: </w:t>
            </w:r>
            <w:r w:rsidRPr="003B14E9">
              <w:rPr>
                <w:rFonts w:ascii="Times New Roman" w:hAnsi="Times New Roman"/>
                <w:b/>
                <w:bCs/>
                <w:color w:val="000000"/>
                <w:sz w:val="18"/>
                <w:szCs w:val="18"/>
              </w:rPr>
              <w:t>▼M8</w:t>
            </w:r>
          </w:p>
          <w:p w14:paraId="4684BC87" w14:textId="77777777" w:rsidR="00DA1687" w:rsidRPr="003B14E9" w:rsidRDefault="00DA1687" w:rsidP="00DA1687">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CA2D9E2" wp14:editId="6E8DAA16">
                  <wp:extent cx="2664365" cy="241539"/>
                  <wp:effectExtent l="0" t="0" r="3175" b="6350"/>
                  <wp:docPr id="9051063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39778" cy="266507"/>
                          </a:xfrm>
                          <a:prstGeom prst="rect">
                            <a:avLst/>
                          </a:prstGeom>
                          <a:noFill/>
                        </pic:spPr>
                      </pic:pic>
                    </a:graphicData>
                  </a:graphic>
                </wp:inline>
              </w:drawing>
            </w:r>
          </w:p>
          <w:p w14:paraId="6D414F1F"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7D854E6C"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l = indicele care desemnează poziţia de risc (RiskPosition); și </w:t>
            </w:r>
          </w:p>
          <w:p w14:paraId="7E1E704E"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4BC2F8EA" wp14:editId="11D40AA4">
                  <wp:extent cx="534838" cy="258405"/>
                  <wp:effectExtent l="0" t="0" r="0" b="8890"/>
                  <wp:docPr id="336170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3097" cy="262395"/>
                          </a:xfrm>
                          <a:prstGeom prst="rect">
                            <a:avLst/>
                          </a:prstGeom>
                          <a:noFill/>
                        </pic:spPr>
                      </pic:pic>
                    </a:graphicData>
                  </a:graphic>
                </wp:inline>
              </w:drawing>
            </w:r>
            <w:r w:rsidRPr="003B14E9">
              <w:rPr>
                <w:rFonts w:ascii="Times New Roman" w:hAnsi="Times New Roman"/>
                <w:color w:val="000000"/>
                <w:sz w:val="18"/>
                <w:szCs w:val="18"/>
              </w:rPr>
              <w:t xml:space="preserve">= factorul impus de autorităţile de supraveghere aplicabil entităţii de referinţă privind creditul k calculat în conformitate cu alineatul (5). </w:t>
            </w:r>
          </w:p>
          <w:p w14:paraId="70C74FE7"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(5) Instituţiile calculează factorul impus de autorităţile de supraveghere aplicabil entităţii de referinţă privind creditul k după cum urmează: </w:t>
            </w:r>
          </w:p>
          <w:p w14:paraId="29513C97"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 pentru entitatea de referinţă privind creditul k stabilită în conformitate cu alineatul (1) litera (a),</w:t>
            </w:r>
          </w:p>
          <w:p w14:paraId="2C8E4772"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0EA9030F" wp14:editId="04E702E3">
                  <wp:extent cx="551092" cy="264160"/>
                  <wp:effectExtent l="0" t="0" r="1905" b="2540"/>
                  <wp:docPr id="872194660"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267" cy="275748"/>
                          </a:xfrm>
                          <a:prstGeom prst="rect">
                            <a:avLst/>
                          </a:prstGeom>
                          <a:noFill/>
                          <a:ln>
                            <a:noFill/>
                          </a:ln>
                        </pic:spPr>
                      </pic:pic>
                    </a:graphicData>
                  </a:graphic>
                </wp:inline>
              </w:drawing>
            </w:r>
          </w:p>
          <w:p w14:paraId="6957AB0A"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este pus în corespondenţă cu unul dintre cei șase factori impuși de autorităţile de supraveghere prevăzuţi în tabelul 3 de la prezentul alineat pe baza unei evaluări externe a </w:t>
            </w:r>
            <w:r w:rsidRPr="003B14E9">
              <w:rPr>
                <w:rFonts w:ascii="Times New Roman" w:hAnsi="Times New Roman"/>
                <w:color w:val="000000"/>
                <w:sz w:val="18"/>
                <w:szCs w:val="18"/>
              </w:rPr>
              <w:lastRenderedPageBreak/>
              <w:t xml:space="preserve">creditului efectuată de o ECAI desemnată a emitentului individual corespunzător; în cazul unui emitent individual pentru care nu este disponibilă o evaluare a creditului efectuată de o ECAI desemnată: </w:t>
            </w:r>
          </w:p>
          <w:p w14:paraId="63499B89"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o instituţie care utilizează abordarea menţionată la capitolul 3 pune în corespondenţă ratingul intern al emitentului individual cu una dintre evaluările externe ale creditului; </w:t>
            </w:r>
          </w:p>
          <w:p w14:paraId="19E0CF1B"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 o instituţie care utilizează abordarea menţionată în capitolul 2 atribuie un </w:t>
            </w:r>
          </w:p>
          <w:p w14:paraId="60760DB5"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2D6666ED" wp14:editId="4C876F3C">
                  <wp:extent cx="1190445" cy="273739"/>
                  <wp:effectExtent l="0" t="0" r="0" b="0"/>
                  <wp:docPr id="2725902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5891" cy="277291"/>
                          </a:xfrm>
                          <a:prstGeom prst="rect">
                            <a:avLst/>
                          </a:prstGeom>
                          <a:noFill/>
                        </pic:spPr>
                      </pic:pic>
                    </a:graphicData>
                  </a:graphic>
                </wp:inline>
              </w:drawing>
            </w:r>
          </w:p>
          <w:p w14:paraId="2BF8BCDC"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respectivei entităţi de referinţă privind creditul; cu toate acestea, în cazul în care o instituţie aplică articolul 128 pentru a pondera la risc expunerile la riscul de credit al contrapărţii faţă de acest emitent individual, se atribuie un </w:t>
            </w:r>
          </w:p>
          <w:p w14:paraId="0072112D"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02C3222C" wp14:editId="1302AF81">
                  <wp:extent cx="1095555" cy="269194"/>
                  <wp:effectExtent l="0" t="0" r="0" b="0"/>
                  <wp:docPr id="17772695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386" cy="280947"/>
                          </a:xfrm>
                          <a:prstGeom prst="rect">
                            <a:avLst/>
                          </a:prstGeom>
                          <a:noFill/>
                        </pic:spPr>
                      </pic:pic>
                    </a:graphicData>
                  </a:graphic>
                </wp:inline>
              </w:drawing>
            </w:r>
          </w:p>
          <w:p w14:paraId="3309A93D"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respectivei entităţi de referinţă privind creditul; </w:t>
            </w:r>
          </w:p>
          <w:p w14:paraId="14AE645A"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pentru entităţile de referinţă privind creditul k stabilite în conformitate cu alineatul (1) litera (b): </w:t>
            </w:r>
          </w:p>
          <w:p w14:paraId="014C91DA"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în cazul în care o poziţie de risc l atribuită entităţii de referinţă privind creditul k este un indice de credit cotat la o bursă recunoscută, </w:t>
            </w:r>
          </w:p>
          <w:p w14:paraId="7183F60D"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6913A036" wp14:editId="30F618E0">
                  <wp:extent cx="569343" cy="275076"/>
                  <wp:effectExtent l="0" t="0" r="2540" b="0"/>
                  <wp:docPr id="128530798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7682" cy="283937"/>
                          </a:xfrm>
                          <a:prstGeom prst="rect">
                            <a:avLst/>
                          </a:prstGeom>
                          <a:noFill/>
                        </pic:spPr>
                      </pic:pic>
                    </a:graphicData>
                  </a:graphic>
                </wp:inline>
              </w:drawing>
            </w:r>
          </w:p>
          <w:p w14:paraId="6E834C77"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este pus în corespondenţă cu unul dintre cei doi factori impuși de autorităţile de supraveghere prezentaţi în tabelul 4 de la prezentul alineat, pe baza calităţii creditului majorităţii componentelor individuale ale acestuia; </w:t>
            </w:r>
          </w:p>
          <w:p w14:paraId="3E19690B"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(ii) în cazul în care o poziţie de risc l atribuită entităţii de referinţă privind creditul k nu este menţionată la punctul (i) de la prezenta literă, </w:t>
            </w:r>
          </w:p>
          <w:p w14:paraId="6FDF8F8E" w14:textId="77777777" w:rsidR="00DA1687" w:rsidRPr="003B14E9" w:rsidRDefault="00DA1687" w:rsidP="00DA1687">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6C251A5F" wp14:editId="667195E9">
                  <wp:extent cx="577970" cy="279244"/>
                  <wp:effectExtent l="0" t="0" r="0" b="6985"/>
                  <wp:docPr id="167049416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776" cy="287364"/>
                          </a:xfrm>
                          <a:prstGeom prst="rect">
                            <a:avLst/>
                          </a:prstGeom>
                          <a:noFill/>
                        </pic:spPr>
                      </pic:pic>
                    </a:graphicData>
                  </a:graphic>
                </wp:inline>
              </w:drawing>
            </w:r>
          </w:p>
          <w:p w14:paraId="6E931C24" w14:textId="77777777" w:rsidR="00DA1687" w:rsidRPr="003B14E9" w:rsidRDefault="00DA1687" w:rsidP="00DA1687">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este media ponderată a factorilor impuși de autorităţile de supraveghere puși în corespondenţă cu fiecare componentă în conformitate cu metoda prevăzută la litera (a), ponderile fiind date de proporţia valorii noţionale a componentelor incluse în această poziţie. </w:t>
            </w:r>
          </w:p>
          <w:p w14:paraId="1CAB7E1A" w14:textId="77777777" w:rsidR="00DA1687" w:rsidRPr="003B14E9" w:rsidRDefault="00DA1687" w:rsidP="00DA1687">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t>Tabelul 3</w:t>
            </w:r>
          </w:p>
          <w:tbl>
            <w:tblPr>
              <w:tblW w:w="40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20"/>
              <w:gridCol w:w="3022"/>
            </w:tblGrid>
            <w:tr w:rsidR="00DA1687" w:rsidRPr="003B14E9" w14:paraId="2F558824" w14:textId="77777777" w:rsidTr="00B11411">
              <w:trPr>
                <w:trHeight w:val="7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7A116A02" w14:textId="77777777" w:rsidR="00DA1687" w:rsidRPr="003B14E9" w:rsidRDefault="00DA1687" w:rsidP="00DA1687">
                  <w:pPr>
                    <w:spacing w:before="60" w:after="60" w:line="312" w:lineRule="atLeast"/>
                    <w:jc w:val="both"/>
                    <w:rPr>
                      <w:b/>
                      <w:bCs/>
                      <w:color w:val="333333"/>
                      <w:sz w:val="18"/>
                      <w:szCs w:val="18"/>
                      <w:lang w:val="en-US" w:eastAsia="ro-MD"/>
                    </w:rPr>
                  </w:pPr>
                  <w:r w:rsidRPr="003B14E9">
                    <w:rPr>
                      <w:b/>
                      <w:bCs/>
                      <w:color w:val="333333"/>
                      <w:sz w:val="18"/>
                      <w:szCs w:val="18"/>
                      <w:lang w:val="en-US" w:eastAsia="ro-MD"/>
                    </w:rPr>
                    <w:t>Nivelul de calitate a creditului</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091CC245" w14:textId="77777777" w:rsidR="00DA1687" w:rsidRPr="003B14E9" w:rsidRDefault="00DA1687" w:rsidP="00DA1687">
                  <w:pPr>
                    <w:spacing w:before="60" w:after="60" w:line="312" w:lineRule="atLeast"/>
                    <w:jc w:val="both"/>
                    <w:rPr>
                      <w:b/>
                      <w:bCs/>
                      <w:color w:val="333333"/>
                      <w:sz w:val="18"/>
                      <w:szCs w:val="18"/>
                      <w:lang w:val="en-US" w:eastAsia="ro-MD"/>
                    </w:rPr>
                  </w:pPr>
                  <w:r w:rsidRPr="003B14E9">
                    <w:rPr>
                      <w:b/>
                      <w:bCs/>
                      <w:color w:val="333333"/>
                      <w:sz w:val="18"/>
                      <w:szCs w:val="18"/>
                      <w:lang w:val="en-US" w:eastAsia="ro-MD"/>
                    </w:rPr>
                    <w:t>Factorul impus de autoritățile de supraveghere pentru tranzacții având la bază o singură semnătură</w:t>
                  </w:r>
                </w:p>
              </w:tc>
            </w:tr>
            <w:tr w:rsidR="00DA1687" w:rsidRPr="003B14E9" w14:paraId="7345741F" w14:textId="77777777" w:rsidTr="00B11411">
              <w:trPr>
                <w:trHeight w:val="431"/>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7F5493F5"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1</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6ABD17C3"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0,38 %</w:t>
                  </w:r>
                </w:p>
              </w:tc>
            </w:tr>
            <w:tr w:rsidR="00DA1687" w:rsidRPr="003B14E9" w14:paraId="7E45416F"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4A84B2C3"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2</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5FCAB316"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0,42 %</w:t>
                  </w:r>
                </w:p>
              </w:tc>
            </w:tr>
            <w:tr w:rsidR="00DA1687" w:rsidRPr="003B14E9" w14:paraId="53198B64"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41EC357D"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3</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1DCCC11F"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0,54 %</w:t>
                  </w:r>
                </w:p>
              </w:tc>
            </w:tr>
            <w:tr w:rsidR="00DA1687" w:rsidRPr="003B14E9" w14:paraId="7995BAE3" w14:textId="77777777" w:rsidTr="00B11411">
              <w:trPr>
                <w:trHeight w:val="431"/>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16055FF6"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4</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673F11AB"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1,06 %</w:t>
                  </w:r>
                </w:p>
              </w:tc>
            </w:tr>
            <w:tr w:rsidR="00DA1687" w:rsidRPr="003B14E9" w14:paraId="32970458"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002F9AA4"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5</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3D4C48F0"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1,6 %</w:t>
                  </w:r>
                </w:p>
              </w:tc>
            </w:tr>
            <w:tr w:rsidR="00DA1687" w:rsidRPr="003B14E9" w14:paraId="01454A5E"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668E6E12"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6</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01219B09" w14:textId="77777777" w:rsidR="00DA1687" w:rsidRPr="003B14E9" w:rsidRDefault="00DA1687" w:rsidP="00DA1687">
                  <w:pPr>
                    <w:spacing w:before="60" w:after="60" w:line="312" w:lineRule="atLeast"/>
                    <w:jc w:val="both"/>
                    <w:rPr>
                      <w:color w:val="333333"/>
                      <w:sz w:val="18"/>
                      <w:szCs w:val="18"/>
                      <w:lang w:eastAsia="ro-MD"/>
                    </w:rPr>
                  </w:pPr>
                  <w:r w:rsidRPr="003B14E9">
                    <w:rPr>
                      <w:color w:val="333333"/>
                      <w:sz w:val="18"/>
                      <w:szCs w:val="18"/>
                      <w:lang w:eastAsia="ro-MD"/>
                    </w:rPr>
                    <w:t>6,0 %</w:t>
                  </w:r>
                </w:p>
              </w:tc>
            </w:tr>
          </w:tbl>
          <w:p w14:paraId="5A429E10" w14:textId="77777777" w:rsidR="00DA1687" w:rsidRPr="003B14E9" w:rsidRDefault="00DA1687" w:rsidP="00DA1687">
            <w:pPr>
              <w:pStyle w:val="Default"/>
              <w:rPr>
                <w:rFonts w:ascii="Times New Roman" w:hAnsi="Times New Roman" w:cs="Times New Roman"/>
                <w:sz w:val="18"/>
                <w:szCs w:val="18"/>
              </w:rPr>
            </w:pPr>
          </w:p>
          <w:p w14:paraId="48B6ADB4" w14:textId="77777777" w:rsidR="00DA1687" w:rsidRPr="003B14E9" w:rsidRDefault="00DA1687" w:rsidP="00DA1687">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t>Tabelul 4</w:t>
            </w:r>
          </w:p>
          <w:tbl>
            <w:tblPr>
              <w:tblW w:w="399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457"/>
              <w:gridCol w:w="2539"/>
            </w:tblGrid>
            <w:tr w:rsidR="00DA1687" w:rsidRPr="003B14E9" w14:paraId="6B0BD62B" w14:textId="77777777" w:rsidTr="00B11411">
              <w:trPr>
                <w:trHeight w:val="909"/>
              </w:trPr>
              <w:tc>
                <w:tcPr>
                  <w:tcW w:w="1457" w:type="dxa"/>
                  <w:tcBorders>
                    <w:top w:val="outset" w:sz="6" w:space="0" w:color="auto"/>
                    <w:left w:val="outset" w:sz="6" w:space="0" w:color="auto"/>
                    <w:bottom w:val="outset" w:sz="6" w:space="0" w:color="auto"/>
                    <w:right w:val="outset" w:sz="6" w:space="0" w:color="auto"/>
                  </w:tcBorders>
                  <w:shd w:val="clear" w:color="auto" w:fill="FFFFFF"/>
                  <w:hideMark/>
                </w:tcPr>
                <w:p w14:paraId="2332B479" w14:textId="77777777" w:rsidR="00DA1687" w:rsidRPr="003B14E9" w:rsidRDefault="00DA1687" w:rsidP="00DA1687">
                  <w:pPr>
                    <w:spacing w:before="60"/>
                    <w:rPr>
                      <w:b/>
                      <w:bCs/>
                      <w:color w:val="333333"/>
                      <w:sz w:val="18"/>
                      <w:szCs w:val="18"/>
                      <w:lang w:eastAsia="ro-MD"/>
                    </w:rPr>
                  </w:pPr>
                  <w:r w:rsidRPr="003B14E9">
                    <w:rPr>
                      <w:b/>
                      <w:bCs/>
                      <w:color w:val="333333"/>
                      <w:sz w:val="18"/>
                      <w:szCs w:val="18"/>
                      <w:lang w:eastAsia="ro-MD"/>
                    </w:rPr>
                    <w:lastRenderedPageBreak/>
                    <w:t>Calitatea creditului dominantă</w:t>
                  </w:r>
                </w:p>
              </w:tc>
              <w:tc>
                <w:tcPr>
                  <w:tcW w:w="2539" w:type="dxa"/>
                  <w:tcBorders>
                    <w:top w:val="outset" w:sz="6" w:space="0" w:color="auto"/>
                    <w:left w:val="outset" w:sz="6" w:space="0" w:color="auto"/>
                    <w:bottom w:val="outset" w:sz="6" w:space="0" w:color="auto"/>
                    <w:right w:val="outset" w:sz="6" w:space="0" w:color="auto"/>
                  </w:tcBorders>
                  <w:shd w:val="clear" w:color="auto" w:fill="FFFFFF"/>
                  <w:hideMark/>
                </w:tcPr>
                <w:p w14:paraId="6B4256E1" w14:textId="77777777" w:rsidR="00DA1687" w:rsidRPr="003B14E9" w:rsidRDefault="00DA1687" w:rsidP="00DA1687">
                  <w:pPr>
                    <w:spacing w:before="60"/>
                    <w:rPr>
                      <w:b/>
                      <w:bCs/>
                      <w:color w:val="333333"/>
                      <w:sz w:val="18"/>
                      <w:szCs w:val="18"/>
                      <w:lang w:val="en-US" w:eastAsia="ro-MD"/>
                    </w:rPr>
                  </w:pPr>
                  <w:r w:rsidRPr="003B14E9">
                    <w:rPr>
                      <w:b/>
                      <w:bCs/>
                      <w:color w:val="333333"/>
                      <w:sz w:val="18"/>
                      <w:szCs w:val="18"/>
                      <w:lang w:val="en-US" w:eastAsia="ro-MD"/>
                    </w:rPr>
                    <w:t>Factorul impus de autoritățile de supraveghere pentru indici cotați</w:t>
                  </w:r>
                </w:p>
              </w:tc>
            </w:tr>
            <w:tr w:rsidR="00DA1687" w:rsidRPr="003B14E9" w14:paraId="3F14C519" w14:textId="77777777" w:rsidTr="00B11411">
              <w:trPr>
                <w:trHeight w:val="542"/>
              </w:trPr>
              <w:tc>
                <w:tcPr>
                  <w:tcW w:w="1457" w:type="dxa"/>
                  <w:tcBorders>
                    <w:top w:val="outset" w:sz="6" w:space="0" w:color="auto"/>
                    <w:left w:val="outset" w:sz="6" w:space="0" w:color="auto"/>
                    <w:bottom w:val="outset" w:sz="6" w:space="0" w:color="auto"/>
                    <w:right w:val="outset" w:sz="6" w:space="0" w:color="auto"/>
                  </w:tcBorders>
                  <w:shd w:val="clear" w:color="auto" w:fill="FFFFFF"/>
                  <w:hideMark/>
                </w:tcPr>
                <w:p w14:paraId="40242722" w14:textId="77777777" w:rsidR="00DA1687" w:rsidRPr="003B14E9" w:rsidRDefault="00DA1687" w:rsidP="00DA1687">
                  <w:pPr>
                    <w:spacing w:before="60"/>
                    <w:rPr>
                      <w:color w:val="333333"/>
                      <w:sz w:val="18"/>
                      <w:szCs w:val="18"/>
                      <w:lang w:eastAsia="ro-MD"/>
                    </w:rPr>
                  </w:pPr>
                  <w:r w:rsidRPr="003B14E9">
                    <w:rPr>
                      <w:color w:val="333333"/>
                      <w:sz w:val="18"/>
                      <w:szCs w:val="18"/>
                      <w:lang w:eastAsia="ro-MD"/>
                    </w:rPr>
                    <w:t>Categoria investment grade</w:t>
                  </w:r>
                </w:p>
              </w:tc>
              <w:tc>
                <w:tcPr>
                  <w:tcW w:w="2539" w:type="dxa"/>
                  <w:tcBorders>
                    <w:top w:val="outset" w:sz="6" w:space="0" w:color="auto"/>
                    <w:left w:val="outset" w:sz="6" w:space="0" w:color="auto"/>
                    <w:bottom w:val="outset" w:sz="6" w:space="0" w:color="auto"/>
                    <w:right w:val="outset" w:sz="6" w:space="0" w:color="auto"/>
                  </w:tcBorders>
                  <w:shd w:val="clear" w:color="auto" w:fill="FFFFFF"/>
                  <w:hideMark/>
                </w:tcPr>
                <w:p w14:paraId="45FE1267" w14:textId="77777777" w:rsidR="00DA1687" w:rsidRPr="003B14E9" w:rsidRDefault="00DA1687" w:rsidP="00DA1687">
                  <w:pPr>
                    <w:spacing w:before="60"/>
                    <w:jc w:val="both"/>
                    <w:rPr>
                      <w:color w:val="333333"/>
                      <w:sz w:val="18"/>
                      <w:szCs w:val="18"/>
                      <w:lang w:eastAsia="ro-MD"/>
                    </w:rPr>
                  </w:pPr>
                  <w:r w:rsidRPr="003B14E9">
                    <w:rPr>
                      <w:color w:val="333333"/>
                      <w:sz w:val="18"/>
                      <w:szCs w:val="18"/>
                      <w:lang w:eastAsia="ro-MD"/>
                    </w:rPr>
                    <w:t>0,38 %</w:t>
                  </w:r>
                </w:p>
              </w:tc>
            </w:tr>
            <w:tr w:rsidR="00DA1687" w:rsidRPr="003B14E9" w14:paraId="1EAFB592" w14:textId="77777777" w:rsidTr="00B11411">
              <w:trPr>
                <w:trHeight w:val="909"/>
              </w:trPr>
              <w:tc>
                <w:tcPr>
                  <w:tcW w:w="1457" w:type="dxa"/>
                  <w:tcBorders>
                    <w:top w:val="outset" w:sz="6" w:space="0" w:color="auto"/>
                    <w:left w:val="outset" w:sz="6" w:space="0" w:color="auto"/>
                    <w:bottom w:val="outset" w:sz="6" w:space="0" w:color="auto"/>
                    <w:right w:val="outset" w:sz="6" w:space="0" w:color="auto"/>
                  </w:tcBorders>
                  <w:shd w:val="clear" w:color="auto" w:fill="FFFFFF"/>
                  <w:hideMark/>
                </w:tcPr>
                <w:p w14:paraId="1ADA1518" w14:textId="77777777" w:rsidR="00DA1687" w:rsidRPr="003B14E9" w:rsidRDefault="00DA1687" w:rsidP="00DA1687">
                  <w:pPr>
                    <w:spacing w:before="60"/>
                    <w:rPr>
                      <w:color w:val="333333"/>
                      <w:sz w:val="18"/>
                      <w:szCs w:val="18"/>
                      <w:lang w:eastAsia="ro-MD"/>
                    </w:rPr>
                  </w:pPr>
                  <w:r w:rsidRPr="003B14E9">
                    <w:rPr>
                      <w:color w:val="333333"/>
                      <w:sz w:val="18"/>
                      <w:szCs w:val="18"/>
                      <w:lang w:eastAsia="ro-MD"/>
                    </w:rPr>
                    <w:t>Categoria non-investment grade</w:t>
                  </w:r>
                </w:p>
              </w:tc>
              <w:tc>
                <w:tcPr>
                  <w:tcW w:w="2539" w:type="dxa"/>
                  <w:tcBorders>
                    <w:top w:val="outset" w:sz="6" w:space="0" w:color="auto"/>
                    <w:left w:val="outset" w:sz="6" w:space="0" w:color="auto"/>
                    <w:bottom w:val="outset" w:sz="6" w:space="0" w:color="auto"/>
                    <w:right w:val="outset" w:sz="6" w:space="0" w:color="auto"/>
                  </w:tcBorders>
                  <w:shd w:val="clear" w:color="auto" w:fill="FFFFFF"/>
                  <w:hideMark/>
                </w:tcPr>
                <w:p w14:paraId="3B67F85C" w14:textId="77777777" w:rsidR="00DA1687" w:rsidRPr="003B14E9" w:rsidRDefault="00DA1687" w:rsidP="00DA1687">
                  <w:pPr>
                    <w:spacing w:before="60"/>
                    <w:jc w:val="both"/>
                    <w:rPr>
                      <w:color w:val="333333"/>
                      <w:sz w:val="18"/>
                      <w:szCs w:val="18"/>
                      <w:lang w:eastAsia="ro-MD"/>
                    </w:rPr>
                  </w:pPr>
                  <w:r w:rsidRPr="003B14E9">
                    <w:rPr>
                      <w:color w:val="333333"/>
                      <w:sz w:val="18"/>
                      <w:szCs w:val="18"/>
                      <w:lang w:eastAsia="ro-MD"/>
                    </w:rPr>
                    <w:t>1,06 %</w:t>
                  </w:r>
                </w:p>
              </w:tc>
            </w:tr>
          </w:tbl>
          <w:p w14:paraId="55D554D7" w14:textId="77777777" w:rsidR="00DA1687" w:rsidRPr="003B14E9" w:rsidRDefault="00DA1687" w:rsidP="00DA1687">
            <w:pPr>
              <w:pStyle w:val="CM4"/>
              <w:spacing w:before="60" w:after="60"/>
              <w:jc w:val="center"/>
              <w:rPr>
                <w:rFonts w:ascii="Times New Roman" w:hAnsi="Times New Roman"/>
                <w:i/>
                <w:iCs/>
                <w:color w:val="000000"/>
                <w:sz w:val="18"/>
                <w:szCs w:val="18"/>
              </w:rPr>
            </w:pPr>
          </w:p>
          <w:p w14:paraId="76CF2D57" w14:textId="77777777" w:rsidR="00DA1687" w:rsidRPr="003B14E9" w:rsidRDefault="00DA1687" w:rsidP="00DA1687">
            <w:pPr>
              <w:pStyle w:val="CM4"/>
              <w:spacing w:before="60" w:after="60"/>
              <w:rPr>
                <w:rFonts w:ascii="Times New Roman" w:hAnsi="Times New Roman"/>
                <w:i/>
                <w:iCs/>
                <w:color w:val="000000"/>
                <w:sz w:val="20"/>
                <w:szCs w:val="20"/>
              </w:rPr>
            </w:pPr>
          </w:p>
        </w:tc>
        <w:tc>
          <w:tcPr>
            <w:tcW w:w="4425" w:type="dxa"/>
            <w:shd w:val="clear" w:color="auto" w:fill="auto"/>
          </w:tcPr>
          <w:p w14:paraId="2E90FEF6" w14:textId="77777777" w:rsidR="00DA1687" w:rsidRPr="003B14E9" w:rsidRDefault="00DA1687" w:rsidP="00DA1687">
            <w:pPr>
              <w:pStyle w:val="CM4"/>
              <w:spacing w:before="60" w:after="60"/>
              <w:ind w:firstLine="567"/>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Secțiunea a 14-a</w:t>
            </w:r>
          </w:p>
          <w:p w14:paraId="0B91EBC0" w14:textId="77777777" w:rsidR="00DA1687" w:rsidRPr="003B14E9" w:rsidRDefault="00DA1687" w:rsidP="00DA1687">
            <w:pPr>
              <w:pStyle w:val="Default"/>
              <w:ind w:firstLine="567"/>
              <w:jc w:val="center"/>
              <w:rPr>
                <w:rFonts w:ascii="Times New Roman" w:hAnsi="Times New Roman" w:cs="Times New Roman"/>
                <w:b/>
                <w:bCs/>
                <w:sz w:val="18"/>
                <w:szCs w:val="18"/>
              </w:rPr>
            </w:pPr>
            <w:r w:rsidRPr="003B14E9">
              <w:rPr>
                <w:rFonts w:ascii="Times New Roman" w:hAnsi="Times New Roman" w:cs="Times New Roman"/>
                <w:b/>
                <w:bCs/>
                <w:sz w:val="18"/>
                <w:szCs w:val="18"/>
              </w:rPr>
              <w:t>Majorarea aferentă categoriei de risc de credit</w:t>
            </w:r>
          </w:p>
          <w:p w14:paraId="780DEA0E"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lastRenderedPageBreak/>
              <w:t>68.</w:t>
            </w:r>
            <w:r w:rsidRPr="003B14E9">
              <w:rPr>
                <w:rFonts w:ascii="Times New Roman" w:hAnsi="Times New Roman" w:cs="Times New Roman"/>
                <w:sz w:val="18"/>
                <w:szCs w:val="18"/>
              </w:rPr>
              <w:t xml:space="preserve"> În sensul punctului 69, băncile stabilesc entităţile de referinţă relevante privind creditul pentru setul de compensare în conformitate cu următoarele: </w:t>
            </w:r>
          </w:p>
          <w:p w14:paraId="48D91BF6"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1) pentru fiecare emitent al unui instrument de datorie de referinţă care este suport al unei tranzacţii având la bază o singură semnătură atribuite categoriei de risc de credit există o singură entitate de referinţă privind creditul; tranzacţiile având la bază o singură semnătură sunt atribuite aceleiași entităţi de referinţă privind creditul numai în cazul în care instrumentul de datorie de referinţă care este suport al tranzacţiilor respective este emis de același emitent; </w:t>
            </w:r>
          </w:p>
          <w:p w14:paraId="4C129664"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2) pentru fiecare grup de instrumente de datorie de referinţă sau de instrumente financiare derivate de credit având la bază o singură semnătură care sunt suport al unei tranzacţii având la bază mai multe semnături atribuite categoriei de risc de credit există o singură entitate de referinţă privind creditul; tranzacţiile având la bază mai multe semnături sunt atribuite aceleiași entităţi de referinţă privind creditul numai în cazul în care grupul de instrumente de datorie de referinţă sau de instrumente financiare derivate de credit având la bază o singură semnătură care sunt suport al tranzacţiilor respective au aceleași componente. </w:t>
            </w:r>
          </w:p>
          <w:p w14:paraId="002054FF"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69.</w:t>
            </w:r>
            <w:r w:rsidRPr="003B14E9">
              <w:rPr>
                <w:rFonts w:ascii="Times New Roman" w:hAnsi="Times New Roman" w:cs="Times New Roman"/>
                <w:sz w:val="18"/>
                <w:szCs w:val="18"/>
              </w:rPr>
              <w:t xml:space="preserve"> În sensul punctelor 51-53, băncile calculează majorarea aferentă categoriei de risc de credit pentru un anumit set de compensare după cum urmează: </w:t>
            </w:r>
          </w:p>
          <w:p w14:paraId="736965DE"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F86159D" wp14:editId="45F7FEA7">
                  <wp:extent cx="2139351" cy="417591"/>
                  <wp:effectExtent l="0" t="0" r="0" b="1905"/>
                  <wp:docPr id="526303868" name="Picture 52630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3353" cy="430084"/>
                          </a:xfrm>
                          <a:prstGeom prst="rect">
                            <a:avLst/>
                          </a:prstGeom>
                          <a:noFill/>
                        </pic:spPr>
                      </pic:pic>
                    </a:graphicData>
                  </a:graphic>
                </wp:inline>
              </w:drawing>
            </w:r>
          </w:p>
          <w:p w14:paraId="2D75EE70"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unde: </w:t>
            </w:r>
          </w:p>
          <w:p w14:paraId="2048F90F"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AddOn</w:t>
            </w:r>
            <w:r w:rsidRPr="003B14E9">
              <w:rPr>
                <w:rFonts w:eastAsiaTheme="minorHAnsi"/>
                <w:color w:val="000000"/>
                <w:sz w:val="18"/>
                <w:szCs w:val="18"/>
                <w:vertAlign w:val="superscript"/>
                <w:lang w:val="ro-MD" w:eastAsia="en-US"/>
                <w14:ligatures w14:val="standardContextual"/>
              </w:rPr>
              <w:t>Credit</w:t>
            </w:r>
            <w:r w:rsidRPr="003B14E9">
              <w:rPr>
                <w:rFonts w:eastAsiaTheme="minorHAnsi"/>
                <w:color w:val="000000"/>
                <w:sz w:val="18"/>
                <w:szCs w:val="18"/>
                <w:lang w:val="ro-MD" w:eastAsia="en-US"/>
                <w14:ligatures w14:val="standardContextual"/>
              </w:rPr>
              <w:t xml:space="preserve"> = majorarea aferentă categoriei de risc de credit; </w:t>
            </w:r>
          </w:p>
          <w:p w14:paraId="2A877B09"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j = indicele care desemnează toate seturile de acoperire a riscului de credit stabilite în conformitate cu punctul 48 subpunctul 3) și punctul 49 pentru setul de compensare; și </w:t>
            </w:r>
          </w:p>
          <w:p w14:paraId="2A87BFCB"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noProof/>
                <w:color w:val="000000"/>
                <w:sz w:val="18"/>
                <w:szCs w:val="18"/>
                <w:lang w:val="en-US" w:eastAsia="en-US"/>
                <w14:ligatures w14:val="standardContextual"/>
              </w:rPr>
              <w:lastRenderedPageBreak/>
              <w:drawing>
                <wp:inline distT="0" distB="0" distL="0" distR="0" wp14:anchorId="55F1259B" wp14:editId="1F3C9C74">
                  <wp:extent cx="690113" cy="216041"/>
                  <wp:effectExtent l="0" t="0" r="0" b="0"/>
                  <wp:docPr id="5897400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8897" cy="225052"/>
                          </a:xfrm>
                          <a:prstGeom prst="rect">
                            <a:avLst/>
                          </a:prstGeom>
                          <a:noFill/>
                          <a:ln>
                            <a:noFill/>
                          </a:ln>
                        </pic:spPr>
                      </pic:pic>
                    </a:graphicData>
                  </a:graphic>
                </wp:inline>
              </w:drawing>
            </w:r>
            <w:r w:rsidRPr="003B14E9">
              <w:rPr>
                <w:rFonts w:eastAsiaTheme="minorHAnsi"/>
                <w:color w:val="000000"/>
                <w:sz w:val="18"/>
                <w:szCs w:val="18"/>
                <w:lang w:val="ro-MD" w:eastAsia="en-US"/>
                <w14:ligatures w14:val="standardContextual"/>
              </w:rPr>
              <w:t xml:space="preserve">  = majorarea aferentă categoriei de risc de credit pentru setul de acoperire a riscului j calculat în conformitate cu punctul 70. </w:t>
            </w:r>
          </w:p>
          <w:p w14:paraId="34D59913"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70.</w:t>
            </w:r>
            <w:r w:rsidRPr="003B14E9">
              <w:rPr>
                <w:rFonts w:eastAsiaTheme="minorHAnsi"/>
                <w:color w:val="000000"/>
                <w:sz w:val="18"/>
                <w:szCs w:val="18"/>
                <w:lang w:val="ro-MD" w:eastAsia="en-US"/>
                <w14:ligatures w14:val="standardContextual"/>
              </w:rPr>
              <w:t xml:space="preserve"> Băncile calculează majorarea aferentă categoriei de risc de credit pentru setul de acoperire a riscului j după cum urmează: </w:t>
            </w:r>
          </w:p>
          <w:p w14:paraId="015E4EF0"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34ACC41" wp14:editId="178AC9B5">
                  <wp:extent cx="2902226" cy="313284"/>
                  <wp:effectExtent l="0" t="0" r="0" b="0"/>
                  <wp:docPr id="801371465" name="Picture 80137146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92485" cy="323027"/>
                          </a:xfrm>
                          <a:prstGeom prst="rect">
                            <a:avLst/>
                          </a:prstGeom>
                          <a:noFill/>
                          <a:ln>
                            <a:noFill/>
                          </a:ln>
                        </pic:spPr>
                      </pic:pic>
                    </a:graphicData>
                  </a:graphic>
                </wp:inline>
              </w:drawing>
            </w:r>
          </w:p>
          <w:p w14:paraId="1A070948"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1AFBDC90"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268F467" wp14:editId="4F74F07A">
                  <wp:extent cx="759124" cy="237645"/>
                  <wp:effectExtent l="0" t="0" r="3175" b="0"/>
                  <wp:docPr id="569327356" name="Picture 5693273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2955" cy="241975"/>
                          </a:xfrm>
                          <a:prstGeom prst="rect">
                            <a:avLst/>
                          </a:prstGeom>
                          <a:noFill/>
                          <a:ln>
                            <a:noFill/>
                          </a:ln>
                        </pic:spPr>
                      </pic:pic>
                    </a:graphicData>
                  </a:graphic>
                </wp:inline>
              </w:drawing>
            </w:r>
            <w:r w:rsidRPr="003B14E9">
              <w:rPr>
                <w:rFonts w:ascii="Times New Roman" w:hAnsi="Times New Roman" w:cs="Times New Roman"/>
                <w:sz w:val="18"/>
                <w:szCs w:val="18"/>
              </w:rPr>
              <w:t xml:space="preserve">  = majorarea aferentă categoriei de risc de credit pentru setul de acoperire a riscului j; </w:t>
            </w:r>
          </w:p>
          <w:p w14:paraId="4B493147"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єj = coeficientul factorului impus de Banca Națională a Moldovei aferent setului de acoperire a riscului pentru setul de acoperire a riscului j determinat în conformitate cu punctul 62; </w:t>
            </w:r>
          </w:p>
          <w:p w14:paraId="51F45263"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k = indicele care desemnează entităţile de referinţă privind creditul ale setului de compensare stabilit în conformitate cu punctul 68; </w:t>
            </w:r>
          </w:p>
          <w:p w14:paraId="25097D2D"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43A6916" wp14:editId="5FDE58FE">
                  <wp:extent cx="517585" cy="283608"/>
                  <wp:effectExtent l="0" t="0" r="0" b="2540"/>
                  <wp:docPr id="284008201" name="Picture 28400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1977" cy="291494"/>
                          </a:xfrm>
                          <a:prstGeom prst="rect">
                            <a:avLst/>
                          </a:prstGeom>
                          <a:noFill/>
                        </pic:spPr>
                      </pic:pic>
                    </a:graphicData>
                  </a:graphic>
                </wp:inline>
              </w:drawing>
            </w:r>
            <w:r w:rsidRPr="003B14E9">
              <w:rPr>
                <w:rFonts w:ascii="Times New Roman" w:hAnsi="Times New Roman" w:cs="Times New Roman"/>
                <w:sz w:val="18"/>
                <w:szCs w:val="18"/>
              </w:rPr>
              <w:t>= factorul de corelare al entităţii de referinţă privind creditul „k”; atunci când entitatea de referinţă privind creditul „k” s-a stabilit în conformitate cu punctul 68 subpunctul 1),</w:t>
            </w:r>
          </w:p>
          <w:p w14:paraId="7813FFAF"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p>
          <w:p w14:paraId="3244E2B2"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008E69B" wp14:editId="2083BC73">
                  <wp:extent cx="1022878" cy="267419"/>
                  <wp:effectExtent l="0" t="0" r="6350" b="0"/>
                  <wp:docPr id="1665824666" name="Picture 16658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2611" cy="272578"/>
                          </a:xfrm>
                          <a:prstGeom prst="rect">
                            <a:avLst/>
                          </a:prstGeom>
                          <a:noFill/>
                        </pic:spPr>
                      </pic:pic>
                    </a:graphicData>
                  </a:graphic>
                </wp:inline>
              </w:drawing>
            </w:r>
          </w:p>
          <w:p w14:paraId="17B9A5E7"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atunci când entitatea de referinţă privind creditul „k” s-a stabilit în conformitate cu punctul 68 subpunctul 2),</w:t>
            </w:r>
          </w:p>
          <w:p w14:paraId="481E3D39"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8E1503B" wp14:editId="76CFDA12">
                  <wp:extent cx="1012190" cy="262255"/>
                  <wp:effectExtent l="0" t="0" r="0" b="4445"/>
                  <wp:docPr id="82660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2190" cy="262255"/>
                          </a:xfrm>
                          <a:prstGeom prst="rect">
                            <a:avLst/>
                          </a:prstGeom>
                          <a:noFill/>
                        </pic:spPr>
                      </pic:pic>
                    </a:graphicData>
                  </a:graphic>
                </wp:inline>
              </w:drawing>
            </w:r>
          </w:p>
          <w:p w14:paraId="4B1F9749"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p>
          <w:p w14:paraId="15FBB4B9"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și </w:t>
            </w:r>
          </w:p>
          <w:p w14:paraId="7450D194"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lastRenderedPageBreak/>
              <w:t xml:space="preserve">AddOn(Entitatek) = majorarea pentru entitatea de referinţă privind creditul k determinată în conformitate cu punctul 71. </w:t>
            </w:r>
          </w:p>
          <w:p w14:paraId="5B8519B1"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71.</w:t>
            </w:r>
            <w:r w:rsidRPr="003B14E9">
              <w:rPr>
                <w:rFonts w:ascii="Times New Roman" w:hAnsi="Times New Roman" w:cs="Times New Roman"/>
                <w:sz w:val="18"/>
                <w:szCs w:val="18"/>
              </w:rPr>
              <w:t xml:space="preserve"> Băncile calculează majorarea pentru entitatea de referinţă privind creditul k după cum urmează: </w:t>
            </w:r>
          </w:p>
          <w:p w14:paraId="1C37901E"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EEDE172" wp14:editId="26EEA476">
                  <wp:extent cx="2458528" cy="271622"/>
                  <wp:effectExtent l="0" t="0" r="0" b="0"/>
                  <wp:docPr id="523715048" name="Picture 52371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02622" cy="276494"/>
                          </a:xfrm>
                          <a:prstGeom prst="rect">
                            <a:avLst/>
                          </a:prstGeom>
                          <a:noFill/>
                        </pic:spPr>
                      </pic:pic>
                    </a:graphicData>
                  </a:graphic>
                </wp:inline>
              </w:drawing>
            </w:r>
          </w:p>
          <w:p w14:paraId="1AA08932"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1BBC02C8"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C2818BD" wp14:editId="1949C448">
                  <wp:extent cx="672860" cy="200317"/>
                  <wp:effectExtent l="0" t="0" r="0" b="9525"/>
                  <wp:docPr id="737586976" name="Picture 73758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1320" cy="202836"/>
                          </a:xfrm>
                          <a:prstGeom prst="rect">
                            <a:avLst/>
                          </a:prstGeom>
                          <a:noFill/>
                        </pic:spPr>
                      </pic:pic>
                    </a:graphicData>
                  </a:graphic>
                </wp:inline>
              </w:drawing>
            </w:r>
            <w:r w:rsidRPr="003B14E9">
              <w:rPr>
                <w:rFonts w:ascii="Times New Roman" w:hAnsi="Times New Roman" w:cs="Times New Roman"/>
                <w:sz w:val="18"/>
                <w:szCs w:val="18"/>
              </w:rPr>
              <w:t xml:space="preserve">= valoarea noţională efectivă a entităţii de referinţă privind creditul k, calculată după cum urmează: </w:t>
            </w:r>
          </w:p>
          <w:p w14:paraId="16C36E4D"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r w:rsidRPr="003B14E9">
              <w:rPr>
                <w:rFonts w:ascii="Times New Roman" w:hAnsi="Times New Roman" w:cs="Times New Roman"/>
                <w:noProof/>
                <w:sz w:val="18"/>
                <w:szCs w:val="18"/>
              </w:rPr>
              <w:drawing>
                <wp:inline distT="0" distB="0" distL="0" distR="0" wp14:anchorId="3DFBCBC8" wp14:editId="7FC59863">
                  <wp:extent cx="2416569" cy="219075"/>
                  <wp:effectExtent l="0" t="0" r="3175" b="0"/>
                  <wp:docPr id="1274003857" name="Picture 127400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08438" cy="227403"/>
                          </a:xfrm>
                          <a:prstGeom prst="rect">
                            <a:avLst/>
                          </a:prstGeom>
                          <a:noFill/>
                        </pic:spPr>
                      </pic:pic>
                    </a:graphicData>
                  </a:graphic>
                </wp:inline>
              </w:drawing>
            </w:r>
          </w:p>
          <w:p w14:paraId="626B49ED"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48FFEDA7"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l = indicele care desemnează poziţia de risc (RiskPosition); și </w:t>
            </w:r>
          </w:p>
          <w:p w14:paraId="1D4CF05E"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A73FAE9" wp14:editId="2E6D9AAE">
                  <wp:extent cx="534838" cy="258405"/>
                  <wp:effectExtent l="0" t="0" r="0" b="8890"/>
                  <wp:docPr id="1589756875" name="Picture 158975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3097" cy="262395"/>
                          </a:xfrm>
                          <a:prstGeom prst="rect">
                            <a:avLst/>
                          </a:prstGeom>
                          <a:noFill/>
                        </pic:spPr>
                      </pic:pic>
                    </a:graphicData>
                  </a:graphic>
                </wp:inline>
              </w:drawing>
            </w:r>
            <w:r w:rsidRPr="003B14E9">
              <w:rPr>
                <w:rFonts w:ascii="Times New Roman" w:hAnsi="Times New Roman" w:cs="Times New Roman"/>
                <w:sz w:val="18"/>
                <w:szCs w:val="18"/>
              </w:rPr>
              <w:t>= factorul impus de Banca Națională a Moldovei aplicabil entităţii de referinţă privind creditul k calculat în conformitate cu punctul 72.</w:t>
            </w:r>
          </w:p>
          <w:p w14:paraId="2BAE11AD"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72.</w:t>
            </w:r>
            <w:r w:rsidRPr="003B14E9">
              <w:rPr>
                <w:rFonts w:eastAsiaTheme="minorHAnsi"/>
                <w:color w:val="000000"/>
                <w:sz w:val="18"/>
                <w:szCs w:val="18"/>
                <w:lang w:val="ro-MD" w:eastAsia="en-US"/>
                <w14:ligatures w14:val="standardContextual"/>
              </w:rPr>
              <w:t xml:space="preserve"> Băncile calculează factorul impus de Banca Națională a Moldovei aplicabil entităţii de referinţă privind creditul k după cum urmează: </w:t>
            </w:r>
          </w:p>
          <w:p w14:paraId="4FE8F748"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1) pentru entitatea de referinţă privind creditul k stabilită în conformitate cu punctul 68 subpunctul 1),</w:t>
            </w:r>
          </w:p>
          <w:p w14:paraId="37637267"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DD3DD7A" wp14:editId="03E46A1D">
                  <wp:extent cx="551092" cy="264160"/>
                  <wp:effectExtent l="0" t="0" r="1905" b="2540"/>
                  <wp:docPr id="1737274156" name="Picture 17372741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267" cy="275748"/>
                          </a:xfrm>
                          <a:prstGeom prst="rect">
                            <a:avLst/>
                          </a:prstGeom>
                          <a:noFill/>
                          <a:ln>
                            <a:noFill/>
                          </a:ln>
                        </pic:spPr>
                      </pic:pic>
                    </a:graphicData>
                  </a:graphic>
                </wp:inline>
              </w:drawing>
            </w:r>
          </w:p>
          <w:p w14:paraId="7D28ACCF"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este pus în corespondenţă cu unul dintre cei șase factori impuși de Banca Națională a Moldovei prevăzuţi în tabelul 3 de la prezenta secțiune pe baza unei evaluări externe a creditului efectuată de o ECAI desemnată a emitentului individual corespunzător.</w:t>
            </w:r>
          </w:p>
          <w:p w14:paraId="1C7A87C6"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În cazul unui emitent individual pentru care nu este disponibilă o evaluare a creditului efectuată de o ECAI desemnată, bancă care utilizează abordarea standardizată conform prevederilor Regulamentului nr.111/2018 cu privire la tratamentul riscului de credit pentru bănci potrivit abordării standardizate atribuie un </w:t>
            </w:r>
          </w:p>
          <w:p w14:paraId="23B77319"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lastRenderedPageBreak/>
              <w:drawing>
                <wp:inline distT="0" distB="0" distL="0" distR="0" wp14:anchorId="6CC79760" wp14:editId="40072A99">
                  <wp:extent cx="1190445" cy="273739"/>
                  <wp:effectExtent l="0" t="0" r="0" b="0"/>
                  <wp:docPr id="433522879" name="Picture 43352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5891" cy="277291"/>
                          </a:xfrm>
                          <a:prstGeom prst="rect">
                            <a:avLst/>
                          </a:prstGeom>
                          <a:noFill/>
                        </pic:spPr>
                      </pic:pic>
                    </a:graphicData>
                  </a:graphic>
                </wp:inline>
              </w:drawing>
            </w:r>
          </w:p>
          <w:p w14:paraId="4FC75A73" w14:textId="77777777" w:rsidR="00DA1687" w:rsidRPr="003B14E9" w:rsidRDefault="00DA1687" w:rsidP="00DA1687">
            <w:pPr>
              <w:pStyle w:val="Default"/>
              <w:tabs>
                <w:tab w:val="left" w:pos="567"/>
              </w:tabs>
              <w:rPr>
                <w:rFonts w:ascii="Times New Roman" w:hAnsi="Times New Roman" w:cs="Times New Roman"/>
                <w:sz w:val="18"/>
                <w:szCs w:val="18"/>
              </w:rPr>
            </w:pPr>
            <w:r w:rsidRPr="003B14E9">
              <w:rPr>
                <w:rFonts w:ascii="Times New Roman" w:hAnsi="Times New Roman" w:cs="Times New Roman"/>
                <w:sz w:val="18"/>
                <w:szCs w:val="18"/>
              </w:rPr>
              <w:t xml:space="preserve">respectivei entităţi de referinţă privind creditul. Cu toate acestea, în cazul în care o bancă aplică prevederile punctelor 77-80 din Regulamentul nr.111/2018 cu privire la tratamentul riscului de credit pentru bănci potrivit abordării standardizate pentru a pondera la risc expunerile la riscul de credit al contrapărţii faţă de acest emitent individual, se atribuie un </w:t>
            </w:r>
            <w:r w:rsidRPr="003B14E9">
              <w:rPr>
                <w:rFonts w:ascii="Times New Roman" w:hAnsi="Times New Roman" w:cs="Times New Roman"/>
                <w:noProof/>
                <w:sz w:val="18"/>
                <w:szCs w:val="18"/>
              </w:rPr>
              <w:drawing>
                <wp:inline distT="0" distB="0" distL="0" distR="0" wp14:anchorId="6DF9F8A2" wp14:editId="29C462E0">
                  <wp:extent cx="1095555" cy="269194"/>
                  <wp:effectExtent l="0" t="0" r="0" b="0"/>
                  <wp:docPr id="470475708" name="Picture 47047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386" cy="280947"/>
                          </a:xfrm>
                          <a:prstGeom prst="rect">
                            <a:avLst/>
                          </a:prstGeom>
                          <a:noFill/>
                        </pic:spPr>
                      </pic:pic>
                    </a:graphicData>
                  </a:graphic>
                </wp:inline>
              </w:drawing>
            </w:r>
          </w:p>
          <w:p w14:paraId="2DE5DBD9"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respectivei entităţi de referinţă privind creditul; </w:t>
            </w:r>
          </w:p>
          <w:p w14:paraId="662FE726"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2) pentru entităţile de referinţă privind creditul k stabilite în conformitate cu punctul 68 subpunctul 1): </w:t>
            </w:r>
          </w:p>
          <w:p w14:paraId="56C39C68"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a) în cazul în care o poziţie de risc l atribuită entităţii de referinţă privind creditul k este un indice de cedit cotat la o bursă recunoscută, </w:t>
            </w:r>
          </w:p>
          <w:p w14:paraId="2954286F"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6E12074F" wp14:editId="44AF5D08">
                  <wp:extent cx="655607" cy="316754"/>
                  <wp:effectExtent l="0" t="0" r="0" b="7620"/>
                  <wp:docPr id="755157002" name="Picture 75515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7727" cy="322610"/>
                          </a:xfrm>
                          <a:prstGeom prst="rect">
                            <a:avLst/>
                          </a:prstGeom>
                          <a:noFill/>
                        </pic:spPr>
                      </pic:pic>
                    </a:graphicData>
                  </a:graphic>
                </wp:inline>
              </w:drawing>
            </w:r>
          </w:p>
          <w:p w14:paraId="1C9FFE52"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este pus în corespondenţă cu unul dintre cei doi prezentaţi în tabelul 4 de la prezentul punct, pe baza calităţii creditului majorităţii componentelor individuale ale acestuia; </w:t>
            </w:r>
          </w:p>
          <w:p w14:paraId="40EC5B04" w14:textId="77777777" w:rsidR="00DA1687" w:rsidRPr="003B14E9" w:rsidRDefault="00DA1687" w:rsidP="00DA1687">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b) în cazul în care o poziţie de risc l atribuită entităţii de referinţă privind creditul k nu este menţionată la punctul (i) de la prezenta literă, </w:t>
            </w:r>
          </w:p>
          <w:p w14:paraId="466C9061" w14:textId="77777777" w:rsidR="00DA1687" w:rsidRPr="003B14E9" w:rsidRDefault="00DA1687" w:rsidP="00DA1687">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690D526" wp14:editId="4D4DD318">
                  <wp:extent cx="689825" cy="333286"/>
                  <wp:effectExtent l="0" t="0" r="0" b="0"/>
                  <wp:docPr id="482246420" name="Picture 48224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99098" cy="337766"/>
                          </a:xfrm>
                          <a:prstGeom prst="rect">
                            <a:avLst/>
                          </a:prstGeom>
                          <a:noFill/>
                        </pic:spPr>
                      </pic:pic>
                    </a:graphicData>
                  </a:graphic>
                </wp:inline>
              </w:drawing>
            </w:r>
          </w:p>
          <w:p w14:paraId="4DEBB09B" w14:textId="77777777" w:rsidR="00DA1687" w:rsidRPr="003B14E9" w:rsidRDefault="00DA1687" w:rsidP="00DA1687">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este media ponderată a factorilor impuși de Banca Națională a Moldovei puși în corespondenţă cu fiecare componentă în conformitate cu metoda prevăzută la litera (a), ponderile fiind date de proporţia valorii noţionale a componentelor incluse în această poziţie. </w:t>
            </w:r>
          </w:p>
          <w:p w14:paraId="65E2FC34" w14:textId="77777777" w:rsidR="00DA1687" w:rsidRPr="003B14E9" w:rsidRDefault="00DA1687" w:rsidP="00DA1687">
            <w:pPr>
              <w:pStyle w:val="Default"/>
              <w:jc w:val="right"/>
              <w:rPr>
                <w:rFonts w:ascii="Times New Roman" w:hAnsi="Times New Roman" w:cs="Times New Roman"/>
                <w:sz w:val="18"/>
                <w:szCs w:val="18"/>
              </w:rPr>
            </w:pPr>
            <w:r w:rsidRPr="003B14E9">
              <w:rPr>
                <w:rFonts w:ascii="Times New Roman" w:hAnsi="Times New Roman" w:cs="Times New Roman"/>
                <w:sz w:val="18"/>
                <w:szCs w:val="18"/>
              </w:rPr>
              <w:t>Tabelul 3</w:t>
            </w:r>
          </w:p>
          <w:tbl>
            <w:tblPr>
              <w:tblW w:w="528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542"/>
              <w:gridCol w:w="3746"/>
            </w:tblGrid>
            <w:tr w:rsidR="00DA1687" w:rsidRPr="003B14E9" w14:paraId="0492CADA" w14:textId="77777777" w:rsidTr="00B11411">
              <w:trPr>
                <w:trHeight w:val="357"/>
              </w:trPr>
              <w:tc>
                <w:tcPr>
                  <w:tcW w:w="1542" w:type="dxa"/>
                  <w:tcBorders>
                    <w:top w:val="outset" w:sz="6" w:space="0" w:color="auto"/>
                    <w:left w:val="outset" w:sz="6" w:space="0" w:color="auto"/>
                    <w:bottom w:val="outset" w:sz="6" w:space="0" w:color="auto"/>
                    <w:right w:val="outset" w:sz="6" w:space="0" w:color="auto"/>
                  </w:tcBorders>
                  <w:shd w:val="clear" w:color="auto" w:fill="FFFFFF"/>
                  <w:hideMark/>
                </w:tcPr>
                <w:p w14:paraId="4FF2452F" w14:textId="77777777" w:rsidR="00DA1687" w:rsidRPr="003B14E9" w:rsidRDefault="00DA1687" w:rsidP="00DA1687">
                  <w:pPr>
                    <w:spacing w:before="60" w:after="60" w:line="312" w:lineRule="atLeast"/>
                    <w:rPr>
                      <w:b/>
                      <w:bCs/>
                      <w:color w:val="333333"/>
                      <w:sz w:val="18"/>
                      <w:szCs w:val="18"/>
                      <w:lang w:val="en-US" w:eastAsia="ro-MD"/>
                    </w:rPr>
                  </w:pPr>
                  <w:r w:rsidRPr="003B14E9">
                    <w:rPr>
                      <w:b/>
                      <w:bCs/>
                      <w:color w:val="333333"/>
                      <w:sz w:val="18"/>
                      <w:szCs w:val="18"/>
                      <w:lang w:val="en-US" w:eastAsia="ro-MD"/>
                    </w:rPr>
                    <w:lastRenderedPageBreak/>
                    <w:t>Nivelul de calitate a creditului</w:t>
                  </w:r>
                </w:p>
              </w:tc>
              <w:tc>
                <w:tcPr>
                  <w:tcW w:w="3746" w:type="dxa"/>
                  <w:tcBorders>
                    <w:top w:val="outset" w:sz="6" w:space="0" w:color="auto"/>
                    <w:left w:val="outset" w:sz="6" w:space="0" w:color="auto"/>
                    <w:bottom w:val="outset" w:sz="6" w:space="0" w:color="auto"/>
                    <w:right w:val="outset" w:sz="6" w:space="0" w:color="auto"/>
                  </w:tcBorders>
                  <w:shd w:val="clear" w:color="auto" w:fill="FFFFFF"/>
                  <w:hideMark/>
                </w:tcPr>
                <w:p w14:paraId="1C55044D" w14:textId="77777777" w:rsidR="00DA1687" w:rsidRPr="003B14E9" w:rsidRDefault="00DA1687" w:rsidP="00DA1687">
                  <w:pPr>
                    <w:spacing w:before="60" w:after="60" w:line="312" w:lineRule="atLeast"/>
                    <w:rPr>
                      <w:b/>
                      <w:bCs/>
                      <w:color w:val="333333"/>
                      <w:sz w:val="18"/>
                      <w:szCs w:val="18"/>
                      <w:lang w:val="en-US" w:eastAsia="ro-MD"/>
                    </w:rPr>
                  </w:pPr>
                  <w:r w:rsidRPr="003B14E9">
                    <w:rPr>
                      <w:b/>
                      <w:bCs/>
                      <w:color w:val="333333"/>
                      <w:sz w:val="18"/>
                      <w:szCs w:val="18"/>
                      <w:lang w:val="en-US" w:eastAsia="ro-MD"/>
                    </w:rPr>
                    <w:t xml:space="preserve">Factorul impus de </w:t>
                  </w:r>
                  <w:r w:rsidRPr="003B14E9">
                    <w:rPr>
                      <w:b/>
                      <w:bCs/>
                      <w:sz w:val="18"/>
                      <w:szCs w:val="18"/>
                      <w:lang w:val="en-US"/>
                    </w:rPr>
                    <w:t>Banca Națională a Moldovei</w:t>
                  </w:r>
                  <w:r w:rsidRPr="003B14E9">
                    <w:rPr>
                      <w:b/>
                      <w:bCs/>
                      <w:color w:val="333333"/>
                      <w:sz w:val="18"/>
                      <w:szCs w:val="18"/>
                      <w:lang w:val="en-US" w:eastAsia="ro-MD"/>
                    </w:rPr>
                    <w:t xml:space="preserve"> pentru tranzacții având la bază o singură semnătură</w:t>
                  </w:r>
                </w:p>
              </w:tc>
            </w:tr>
            <w:tr w:rsidR="00DA1687" w:rsidRPr="003B14E9" w14:paraId="0B83BF96" w14:textId="77777777" w:rsidTr="00B11411">
              <w:trPr>
                <w:trHeight w:val="357"/>
              </w:trPr>
              <w:tc>
                <w:tcPr>
                  <w:tcW w:w="1542" w:type="dxa"/>
                  <w:tcBorders>
                    <w:top w:val="outset" w:sz="6" w:space="0" w:color="auto"/>
                    <w:left w:val="outset" w:sz="6" w:space="0" w:color="auto"/>
                    <w:bottom w:val="outset" w:sz="6" w:space="0" w:color="auto"/>
                    <w:right w:val="outset" w:sz="6" w:space="0" w:color="auto"/>
                  </w:tcBorders>
                  <w:shd w:val="clear" w:color="auto" w:fill="FFFFFF"/>
                  <w:hideMark/>
                </w:tcPr>
                <w:p w14:paraId="0E7CCE9C"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1</w:t>
                  </w:r>
                </w:p>
              </w:tc>
              <w:tc>
                <w:tcPr>
                  <w:tcW w:w="3746" w:type="dxa"/>
                  <w:tcBorders>
                    <w:top w:val="outset" w:sz="6" w:space="0" w:color="auto"/>
                    <w:left w:val="outset" w:sz="6" w:space="0" w:color="auto"/>
                    <w:bottom w:val="outset" w:sz="6" w:space="0" w:color="auto"/>
                    <w:right w:val="outset" w:sz="6" w:space="0" w:color="auto"/>
                  </w:tcBorders>
                  <w:shd w:val="clear" w:color="auto" w:fill="FFFFFF"/>
                  <w:hideMark/>
                </w:tcPr>
                <w:p w14:paraId="650F001A"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0,38 %</w:t>
                  </w:r>
                </w:p>
              </w:tc>
            </w:tr>
            <w:tr w:rsidR="00DA1687" w:rsidRPr="003B14E9" w14:paraId="1F8D40D7" w14:textId="77777777" w:rsidTr="00B11411">
              <w:trPr>
                <w:trHeight w:val="345"/>
              </w:trPr>
              <w:tc>
                <w:tcPr>
                  <w:tcW w:w="1542" w:type="dxa"/>
                  <w:tcBorders>
                    <w:top w:val="outset" w:sz="6" w:space="0" w:color="auto"/>
                    <w:left w:val="outset" w:sz="6" w:space="0" w:color="auto"/>
                    <w:bottom w:val="outset" w:sz="6" w:space="0" w:color="auto"/>
                    <w:right w:val="outset" w:sz="6" w:space="0" w:color="auto"/>
                  </w:tcBorders>
                  <w:shd w:val="clear" w:color="auto" w:fill="FFFFFF"/>
                  <w:hideMark/>
                </w:tcPr>
                <w:p w14:paraId="5859A4AC"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2</w:t>
                  </w:r>
                </w:p>
              </w:tc>
              <w:tc>
                <w:tcPr>
                  <w:tcW w:w="3746" w:type="dxa"/>
                  <w:tcBorders>
                    <w:top w:val="outset" w:sz="6" w:space="0" w:color="auto"/>
                    <w:left w:val="outset" w:sz="6" w:space="0" w:color="auto"/>
                    <w:bottom w:val="outset" w:sz="6" w:space="0" w:color="auto"/>
                    <w:right w:val="outset" w:sz="6" w:space="0" w:color="auto"/>
                  </w:tcBorders>
                  <w:shd w:val="clear" w:color="auto" w:fill="FFFFFF"/>
                  <w:hideMark/>
                </w:tcPr>
                <w:p w14:paraId="020F49C2"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0,42 %</w:t>
                  </w:r>
                </w:p>
              </w:tc>
            </w:tr>
            <w:tr w:rsidR="00DA1687" w:rsidRPr="003B14E9" w14:paraId="53CE7F4A" w14:textId="77777777" w:rsidTr="00B11411">
              <w:trPr>
                <w:trHeight w:val="357"/>
              </w:trPr>
              <w:tc>
                <w:tcPr>
                  <w:tcW w:w="1542" w:type="dxa"/>
                  <w:tcBorders>
                    <w:top w:val="outset" w:sz="6" w:space="0" w:color="auto"/>
                    <w:left w:val="outset" w:sz="6" w:space="0" w:color="auto"/>
                    <w:bottom w:val="outset" w:sz="6" w:space="0" w:color="auto"/>
                    <w:right w:val="outset" w:sz="6" w:space="0" w:color="auto"/>
                  </w:tcBorders>
                  <w:shd w:val="clear" w:color="auto" w:fill="FFFFFF"/>
                  <w:hideMark/>
                </w:tcPr>
                <w:p w14:paraId="08FD35C7"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3</w:t>
                  </w:r>
                </w:p>
              </w:tc>
              <w:tc>
                <w:tcPr>
                  <w:tcW w:w="3746" w:type="dxa"/>
                  <w:tcBorders>
                    <w:top w:val="outset" w:sz="6" w:space="0" w:color="auto"/>
                    <w:left w:val="outset" w:sz="6" w:space="0" w:color="auto"/>
                    <w:bottom w:val="outset" w:sz="6" w:space="0" w:color="auto"/>
                    <w:right w:val="outset" w:sz="6" w:space="0" w:color="auto"/>
                  </w:tcBorders>
                  <w:shd w:val="clear" w:color="auto" w:fill="FFFFFF"/>
                  <w:hideMark/>
                </w:tcPr>
                <w:p w14:paraId="7504CA36"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0,54 %</w:t>
                  </w:r>
                </w:p>
              </w:tc>
            </w:tr>
            <w:tr w:rsidR="00DA1687" w:rsidRPr="003B14E9" w14:paraId="793A8B80" w14:textId="77777777" w:rsidTr="00B11411">
              <w:trPr>
                <w:trHeight w:val="357"/>
              </w:trPr>
              <w:tc>
                <w:tcPr>
                  <w:tcW w:w="1542" w:type="dxa"/>
                  <w:tcBorders>
                    <w:top w:val="outset" w:sz="6" w:space="0" w:color="auto"/>
                    <w:left w:val="outset" w:sz="6" w:space="0" w:color="auto"/>
                    <w:bottom w:val="outset" w:sz="6" w:space="0" w:color="auto"/>
                    <w:right w:val="outset" w:sz="6" w:space="0" w:color="auto"/>
                  </w:tcBorders>
                  <w:shd w:val="clear" w:color="auto" w:fill="FFFFFF"/>
                  <w:hideMark/>
                </w:tcPr>
                <w:p w14:paraId="33F61585"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4</w:t>
                  </w:r>
                </w:p>
              </w:tc>
              <w:tc>
                <w:tcPr>
                  <w:tcW w:w="3746" w:type="dxa"/>
                  <w:tcBorders>
                    <w:top w:val="outset" w:sz="6" w:space="0" w:color="auto"/>
                    <w:left w:val="outset" w:sz="6" w:space="0" w:color="auto"/>
                    <w:bottom w:val="outset" w:sz="6" w:space="0" w:color="auto"/>
                    <w:right w:val="outset" w:sz="6" w:space="0" w:color="auto"/>
                  </w:tcBorders>
                  <w:shd w:val="clear" w:color="auto" w:fill="FFFFFF"/>
                  <w:hideMark/>
                </w:tcPr>
                <w:p w14:paraId="02A46EC7"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1,06 %</w:t>
                  </w:r>
                </w:p>
              </w:tc>
            </w:tr>
            <w:tr w:rsidR="00DA1687" w:rsidRPr="003B14E9" w14:paraId="5C71B132" w14:textId="77777777" w:rsidTr="00B11411">
              <w:trPr>
                <w:trHeight w:val="357"/>
              </w:trPr>
              <w:tc>
                <w:tcPr>
                  <w:tcW w:w="1542" w:type="dxa"/>
                  <w:tcBorders>
                    <w:top w:val="outset" w:sz="6" w:space="0" w:color="auto"/>
                    <w:left w:val="outset" w:sz="6" w:space="0" w:color="auto"/>
                    <w:bottom w:val="outset" w:sz="6" w:space="0" w:color="auto"/>
                    <w:right w:val="outset" w:sz="6" w:space="0" w:color="auto"/>
                  </w:tcBorders>
                  <w:shd w:val="clear" w:color="auto" w:fill="FFFFFF"/>
                  <w:hideMark/>
                </w:tcPr>
                <w:p w14:paraId="5606AB15"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5</w:t>
                  </w:r>
                </w:p>
              </w:tc>
              <w:tc>
                <w:tcPr>
                  <w:tcW w:w="3746" w:type="dxa"/>
                  <w:tcBorders>
                    <w:top w:val="outset" w:sz="6" w:space="0" w:color="auto"/>
                    <w:left w:val="outset" w:sz="6" w:space="0" w:color="auto"/>
                    <w:bottom w:val="outset" w:sz="6" w:space="0" w:color="auto"/>
                    <w:right w:val="outset" w:sz="6" w:space="0" w:color="auto"/>
                  </w:tcBorders>
                  <w:shd w:val="clear" w:color="auto" w:fill="FFFFFF"/>
                  <w:hideMark/>
                </w:tcPr>
                <w:p w14:paraId="58DE1FAA"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1,6 %</w:t>
                  </w:r>
                </w:p>
              </w:tc>
            </w:tr>
            <w:tr w:rsidR="00DA1687" w:rsidRPr="003B14E9" w14:paraId="40FAEC92" w14:textId="77777777" w:rsidTr="00B11411">
              <w:trPr>
                <w:trHeight w:val="357"/>
              </w:trPr>
              <w:tc>
                <w:tcPr>
                  <w:tcW w:w="1542" w:type="dxa"/>
                  <w:tcBorders>
                    <w:top w:val="outset" w:sz="6" w:space="0" w:color="auto"/>
                    <w:left w:val="outset" w:sz="6" w:space="0" w:color="auto"/>
                    <w:bottom w:val="outset" w:sz="6" w:space="0" w:color="auto"/>
                    <w:right w:val="outset" w:sz="6" w:space="0" w:color="auto"/>
                  </w:tcBorders>
                  <w:shd w:val="clear" w:color="auto" w:fill="FFFFFF"/>
                  <w:hideMark/>
                </w:tcPr>
                <w:p w14:paraId="10A7AF59"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6</w:t>
                  </w:r>
                </w:p>
              </w:tc>
              <w:tc>
                <w:tcPr>
                  <w:tcW w:w="3746" w:type="dxa"/>
                  <w:tcBorders>
                    <w:top w:val="outset" w:sz="6" w:space="0" w:color="auto"/>
                    <w:left w:val="outset" w:sz="6" w:space="0" w:color="auto"/>
                    <w:bottom w:val="outset" w:sz="6" w:space="0" w:color="auto"/>
                    <w:right w:val="outset" w:sz="6" w:space="0" w:color="auto"/>
                  </w:tcBorders>
                  <w:shd w:val="clear" w:color="auto" w:fill="FFFFFF"/>
                  <w:hideMark/>
                </w:tcPr>
                <w:p w14:paraId="0BFE9731"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6,0 %</w:t>
                  </w:r>
                </w:p>
              </w:tc>
            </w:tr>
          </w:tbl>
          <w:p w14:paraId="75527899" w14:textId="77777777" w:rsidR="00DA1687" w:rsidRPr="003B14E9" w:rsidRDefault="00DA1687" w:rsidP="00DA1687">
            <w:pPr>
              <w:pStyle w:val="Default"/>
              <w:jc w:val="both"/>
              <w:rPr>
                <w:rFonts w:ascii="Times New Roman" w:hAnsi="Times New Roman" w:cs="Times New Roman"/>
                <w:sz w:val="18"/>
                <w:szCs w:val="18"/>
              </w:rPr>
            </w:pPr>
          </w:p>
          <w:p w14:paraId="77E9846F" w14:textId="77777777" w:rsidR="00DA1687" w:rsidRPr="003B14E9" w:rsidRDefault="00DA1687" w:rsidP="00DA1687">
            <w:pPr>
              <w:pStyle w:val="Default"/>
              <w:jc w:val="right"/>
              <w:rPr>
                <w:rFonts w:ascii="Times New Roman" w:hAnsi="Times New Roman" w:cs="Times New Roman"/>
                <w:sz w:val="18"/>
                <w:szCs w:val="18"/>
              </w:rPr>
            </w:pPr>
            <w:r w:rsidRPr="003B14E9">
              <w:rPr>
                <w:rFonts w:ascii="Times New Roman" w:hAnsi="Times New Roman" w:cs="Times New Roman"/>
                <w:sz w:val="18"/>
                <w:szCs w:val="18"/>
              </w:rPr>
              <w:t>Tabelul 4</w:t>
            </w:r>
          </w:p>
          <w:tbl>
            <w:tblPr>
              <w:tblW w:w="530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933"/>
              <w:gridCol w:w="3367"/>
            </w:tblGrid>
            <w:tr w:rsidR="00DA1687" w:rsidRPr="003B14E9" w14:paraId="01D886A4" w14:textId="77777777" w:rsidTr="00B11411">
              <w:trPr>
                <w:trHeight w:val="499"/>
              </w:trPr>
              <w:tc>
                <w:tcPr>
                  <w:tcW w:w="1933" w:type="dxa"/>
                  <w:tcBorders>
                    <w:top w:val="outset" w:sz="6" w:space="0" w:color="auto"/>
                    <w:left w:val="outset" w:sz="6" w:space="0" w:color="auto"/>
                    <w:bottom w:val="outset" w:sz="6" w:space="0" w:color="auto"/>
                    <w:right w:val="outset" w:sz="6" w:space="0" w:color="auto"/>
                  </w:tcBorders>
                  <w:shd w:val="clear" w:color="auto" w:fill="FFFFFF"/>
                  <w:hideMark/>
                </w:tcPr>
                <w:p w14:paraId="548A8418" w14:textId="77777777" w:rsidR="00DA1687" w:rsidRPr="003B14E9" w:rsidRDefault="00DA1687" w:rsidP="00DA1687">
                  <w:pPr>
                    <w:spacing w:before="60" w:after="60" w:line="312" w:lineRule="atLeast"/>
                    <w:rPr>
                      <w:b/>
                      <w:bCs/>
                      <w:color w:val="333333"/>
                      <w:sz w:val="18"/>
                      <w:szCs w:val="18"/>
                      <w:lang w:eastAsia="ro-MD"/>
                    </w:rPr>
                  </w:pPr>
                  <w:r w:rsidRPr="003B14E9">
                    <w:rPr>
                      <w:b/>
                      <w:bCs/>
                      <w:color w:val="333333"/>
                      <w:sz w:val="18"/>
                      <w:szCs w:val="18"/>
                      <w:lang w:eastAsia="ro-MD"/>
                    </w:rPr>
                    <w:t>Calitatea creditului dominantă</w:t>
                  </w:r>
                </w:p>
              </w:tc>
              <w:tc>
                <w:tcPr>
                  <w:tcW w:w="3367" w:type="dxa"/>
                  <w:tcBorders>
                    <w:top w:val="outset" w:sz="6" w:space="0" w:color="auto"/>
                    <w:left w:val="outset" w:sz="6" w:space="0" w:color="auto"/>
                    <w:bottom w:val="outset" w:sz="6" w:space="0" w:color="auto"/>
                    <w:right w:val="outset" w:sz="6" w:space="0" w:color="auto"/>
                  </w:tcBorders>
                  <w:shd w:val="clear" w:color="auto" w:fill="FFFFFF"/>
                  <w:hideMark/>
                </w:tcPr>
                <w:p w14:paraId="60FA6A9A" w14:textId="77777777" w:rsidR="00DA1687" w:rsidRPr="003B14E9" w:rsidRDefault="00DA1687" w:rsidP="00DA1687">
                  <w:pPr>
                    <w:spacing w:before="60" w:after="60" w:line="312" w:lineRule="atLeast"/>
                    <w:rPr>
                      <w:b/>
                      <w:bCs/>
                      <w:color w:val="333333"/>
                      <w:sz w:val="18"/>
                      <w:szCs w:val="18"/>
                      <w:lang w:val="en-US" w:eastAsia="ro-MD"/>
                    </w:rPr>
                  </w:pPr>
                  <w:r w:rsidRPr="003B14E9">
                    <w:rPr>
                      <w:b/>
                      <w:bCs/>
                      <w:color w:val="333333"/>
                      <w:sz w:val="18"/>
                      <w:szCs w:val="18"/>
                      <w:lang w:val="en-US" w:eastAsia="ro-MD"/>
                    </w:rPr>
                    <w:t xml:space="preserve">Factorul impus de </w:t>
                  </w:r>
                  <w:r w:rsidRPr="003B14E9">
                    <w:rPr>
                      <w:b/>
                      <w:bCs/>
                      <w:sz w:val="18"/>
                      <w:szCs w:val="18"/>
                      <w:lang w:val="en-US"/>
                    </w:rPr>
                    <w:t>Banca Națională a Moldovei</w:t>
                  </w:r>
                  <w:r w:rsidRPr="003B14E9">
                    <w:rPr>
                      <w:b/>
                      <w:bCs/>
                      <w:color w:val="333333"/>
                      <w:sz w:val="18"/>
                      <w:szCs w:val="18"/>
                      <w:lang w:val="en-US" w:eastAsia="ro-MD"/>
                    </w:rPr>
                    <w:t xml:space="preserve"> pentru indici cotați</w:t>
                  </w:r>
                </w:p>
              </w:tc>
            </w:tr>
            <w:tr w:rsidR="00DA1687" w:rsidRPr="003B14E9" w14:paraId="7353175F" w14:textId="77777777" w:rsidTr="00B11411">
              <w:trPr>
                <w:trHeight w:val="354"/>
              </w:trPr>
              <w:tc>
                <w:tcPr>
                  <w:tcW w:w="1933" w:type="dxa"/>
                  <w:tcBorders>
                    <w:top w:val="outset" w:sz="6" w:space="0" w:color="auto"/>
                    <w:left w:val="outset" w:sz="6" w:space="0" w:color="auto"/>
                    <w:bottom w:val="outset" w:sz="6" w:space="0" w:color="auto"/>
                    <w:right w:val="outset" w:sz="6" w:space="0" w:color="auto"/>
                  </w:tcBorders>
                  <w:shd w:val="clear" w:color="auto" w:fill="FFFFFF"/>
                  <w:hideMark/>
                </w:tcPr>
                <w:p w14:paraId="6AB1FC3F" w14:textId="77777777" w:rsidR="00DA1687" w:rsidRPr="003B14E9" w:rsidRDefault="00DA1687" w:rsidP="00DA1687">
                  <w:pPr>
                    <w:spacing w:before="60" w:after="60" w:line="312" w:lineRule="atLeast"/>
                    <w:rPr>
                      <w:color w:val="333333"/>
                      <w:sz w:val="18"/>
                      <w:szCs w:val="18"/>
                      <w:lang w:eastAsia="ro-MD"/>
                    </w:rPr>
                  </w:pPr>
                  <w:r w:rsidRPr="003B14E9">
                    <w:rPr>
                      <w:color w:val="333333"/>
                      <w:sz w:val="18"/>
                      <w:szCs w:val="18"/>
                      <w:lang w:eastAsia="ro-MD"/>
                    </w:rPr>
                    <w:t>Categoria investment grade</w:t>
                  </w:r>
                </w:p>
              </w:tc>
              <w:tc>
                <w:tcPr>
                  <w:tcW w:w="3367" w:type="dxa"/>
                  <w:tcBorders>
                    <w:top w:val="outset" w:sz="6" w:space="0" w:color="auto"/>
                    <w:left w:val="outset" w:sz="6" w:space="0" w:color="auto"/>
                    <w:bottom w:val="outset" w:sz="6" w:space="0" w:color="auto"/>
                    <w:right w:val="outset" w:sz="6" w:space="0" w:color="auto"/>
                  </w:tcBorders>
                  <w:shd w:val="clear" w:color="auto" w:fill="FFFFFF"/>
                  <w:hideMark/>
                </w:tcPr>
                <w:p w14:paraId="4926DF58"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0,38 %</w:t>
                  </w:r>
                </w:p>
              </w:tc>
            </w:tr>
            <w:tr w:rsidR="00DA1687" w:rsidRPr="003B14E9" w14:paraId="0C76401B" w14:textId="77777777" w:rsidTr="00B11411">
              <w:trPr>
                <w:trHeight w:val="416"/>
              </w:trPr>
              <w:tc>
                <w:tcPr>
                  <w:tcW w:w="1933" w:type="dxa"/>
                  <w:tcBorders>
                    <w:top w:val="outset" w:sz="6" w:space="0" w:color="auto"/>
                    <w:left w:val="outset" w:sz="6" w:space="0" w:color="auto"/>
                    <w:bottom w:val="outset" w:sz="6" w:space="0" w:color="auto"/>
                    <w:right w:val="outset" w:sz="6" w:space="0" w:color="auto"/>
                  </w:tcBorders>
                  <w:shd w:val="clear" w:color="auto" w:fill="FFFFFF"/>
                  <w:hideMark/>
                </w:tcPr>
                <w:p w14:paraId="55B480A3" w14:textId="77777777" w:rsidR="00DA1687" w:rsidRPr="003B14E9" w:rsidRDefault="00DA1687" w:rsidP="00DA1687">
                  <w:pPr>
                    <w:spacing w:before="60" w:after="60" w:line="312" w:lineRule="atLeast"/>
                    <w:rPr>
                      <w:color w:val="333333"/>
                      <w:sz w:val="18"/>
                      <w:szCs w:val="18"/>
                      <w:lang w:eastAsia="ro-MD"/>
                    </w:rPr>
                  </w:pPr>
                  <w:r w:rsidRPr="003B14E9">
                    <w:rPr>
                      <w:color w:val="333333"/>
                      <w:sz w:val="18"/>
                      <w:szCs w:val="18"/>
                      <w:lang w:eastAsia="ro-MD"/>
                    </w:rPr>
                    <w:t>Categoria non-investment grade</w:t>
                  </w:r>
                </w:p>
              </w:tc>
              <w:tc>
                <w:tcPr>
                  <w:tcW w:w="3367" w:type="dxa"/>
                  <w:tcBorders>
                    <w:top w:val="outset" w:sz="6" w:space="0" w:color="auto"/>
                    <w:left w:val="outset" w:sz="6" w:space="0" w:color="auto"/>
                    <w:bottom w:val="outset" w:sz="6" w:space="0" w:color="auto"/>
                    <w:right w:val="outset" w:sz="6" w:space="0" w:color="auto"/>
                  </w:tcBorders>
                  <w:shd w:val="clear" w:color="auto" w:fill="FFFFFF"/>
                  <w:hideMark/>
                </w:tcPr>
                <w:p w14:paraId="08B7C110" w14:textId="77777777" w:rsidR="00DA1687" w:rsidRPr="003B14E9" w:rsidRDefault="00DA1687" w:rsidP="00DA1687">
                  <w:pPr>
                    <w:spacing w:before="60" w:after="60" w:line="312" w:lineRule="atLeast"/>
                    <w:jc w:val="center"/>
                    <w:rPr>
                      <w:color w:val="333333"/>
                      <w:sz w:val="18"/>
                      <w:szCs w:val="18"/>
                      <w:lang w:eastAsia="ro-MD"/>
                    </w:rPr>
                  </w:pPr>
                  <w:r w:rsidRPr="003B14E9">
                    <w:rPr>
                      <w:color w:val="333333"/>
                      <w:sz w:val="18"/>
                      <w:szCs w:val="18"/>
                      <w:lang w:eastAsia="ro-MD"/>
                    </w:rPr>
                    <w:t>1,06 %</w:t>
                  </w:r>
                </w:p>
              </w:tc>
            </w:tr>
          </w:tbl>
          <w:p w14:paraId="050B6CED" w14:textId="77777777" w:rsidR="00DA1687" w:rsidRPr="003B14E9" w:rsidRDefault="00DA1687" w:rsidP="00DA1687">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225E7F90" w14:textId="3DA813B7" w:rsidR="00DA1687" w:rsidRPr="003B14E9" w:rsidRDefault="00DA1687" w:rsidP="00DA1687">
            <w:pPr>
              <w:jc w:val="both"/>
              <w:rPr>
                <w:sz w:val="18"/>
                <w:szCs w:val="18"/>
                <w:lang w:val="ro-MD"/>
              </w:rPr>
            </w:pPr>
            <w:r w:rsidRPr="003B14E9">
              <w:rPr>
                <w:sz w:val="18"/>
                <w:szCs w:val="18"/>
                <w:lang w:val="ro-MD"/>
              </w:rPr>
              <w:lastRenderedPageBreak/>
              <w:t>Compatibil</w:t>
            </w:r>
          </w:p>
        </w:tc>
        <w:tc>
          <w:tcPr>
            <w:tcW w:w="3041" w:type="dxa"/>
          </w:tcPr>
          <w:p w14:paraId="1E508B62" w14:textId="77777777" w:rsidR="00DA1687" w:rsidRPr="003B14E9" w:rsidRDefault="00DA1687" w:rsidP="00DA1687">
            <w:pPr>
              <w:rPr>
                <w:sz w:val="18"/>
                <w:szCs w:val="18"/>
                <w:highlight w:val="red"/>
                <w:lang w:val="ro-MD"/>
              </w:rPr>
            </w:pPr>
          </w:p>
        </w:tc>
        <w:tc>
          <w:tcPr>
            <w:tcW w:w="1055" w:type="dxa"/>
            <w:tcBorders>
              <w:top w:val="single" w:sz="4" w:space="0" w:color="auto"/>
              <w:bottom w:val="single" w:sz="4" w:space="0" w:color="auto"/>
            </w:tcBorders>
          </w:tcPr>
          <w:p w14:paraId="130000CD" w14:textId="77777777" w:rsidR="00DA1687" w:rsidRPr="003B14E9" w:rsidRDefault="00DA1687" w:rsidP="00DA1687">
            <w:pPr>
              <w:jc w:val="both"/>
              <w:rPr>
                <w:sz w:val="18"/>
                <w:szCs w:val="18"/>
                <w:lang w:val="ro-MD"/>
              </w:rPr>
            </w:pPr>
          </w:p>
        </w:tc>
        <w:tc>
          <w:tcPr>
            <w:tcW w:w="1330" w:type="dxa"/>
            <w:tcBorders>
              <w:bottom w:val="single" w:sz="4" w:space="0" w:color="auto"/>
            </w:tcBorders>
          </w:tcPr>
          <w:p w14:paraId="022B75EB" w14:textId="77777777" w:rsidR="00DA1687" w:rsidRPr="003B14E9" w:rsidRDefault="00DA1687" w:rsidP="00DA1687">
            <w:pPr>
              <w:jc w:val="both"/>
              <w:rPr>
                <w:sz w:val="18"/>
                <w:szCs w:val="18"/>
                <w:lang w:val="ro-MD"/>
              </w:rPr>
            </w:pPr>
          </w:p>
        </w:tc>
      </w:tr>
      <w:tr w:rsidR="00622402" w:rsidRPr="003B14E9" w14:paraId="5946408C" w14:textId="77777777" w:rsidTr="00604EF1">
        <w:trPr>
          <w:trHeight w:val="918"/>
        </w:trPr>
        <w:tc>
          <w:tcPr>
            <w:tcW w:w="4473" w:type="dxa"/>
          </w:tcPr>
          <w:p w14:paraId="449199B2" w14:textId="6A44F9FC" w:rsidR="00622402" w:rsidRPr="003B14E9" w:rsidRDefault="00622402" w:rsidP="00BB4169">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lastRenderedPageBreak/>
              <w:t>Articolul 280d</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Majorarea aferentă categoriei de risc privind titlurile de capital</w:t>
            </w:r>
          </w:p>
          <w:p w14:paraId="20C20E3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În sensul alineatului (2), instituţiile stabilesc entităţile de referinţă relevante privind titlurile de capital pentru setul de compensare în conformitate cu următoarele: </w:t>
            </w:r>
          </w:p>
          <w:p w14:paraId="4FA92C6D"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 pentru fiecare emitent al unui instrument de capital de referinţă care este suport al unei tranzacţii având la bază o singură semnătură atribuite categoriei de risc privind titlurile de capital există o singură entitate de referinţă privind titlurile de capital; tranzacţiile având la bază o singură semnătură sunt atribuite aceleiași entităţi de referinţă privind titlurile de capital numai în cazul în care instrumentul de capital de referinţă care este suport al tranzacţiilor respective este emis de același emitent; </w:t>
            </w:r>
          </w:p>
          <w:p w14:paraId="281A2B8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pentru fiecare grup de instrumente de capital de referinţă sau de instrumente financiare derivate pe titluri de capital având la bază o singură semnătură care sunt suport al unei tranzacţii având la bază mai multe semnături atribuite categoriei de risc privind titlurile de capital există </w:t>
            </w:r>
            <w:r w:rsidRPr="003B14E9">
              <w:rPr>
                <w:rFonts w:ascii="Times New Roman" w:hAnsi="Times New Roman"/>
                <w:color w:val="000000"/>
                <w:sz w:val="18"/>
                <w:szCs w:val="18"/>
              </w:rPr>
              <w:lastRenderedPageBreak/>
              <w:t xml:space="preserve">o singură entitate de referinţă privind titlurile de capital; tranzacţiile având la bază mai multe semnături sunt atribuite aceleiași entităţi de referinţă privind titlurile de capital numai în cazul în care grupul de instrumente de capital de referinţă sau de instrumente financiare derivate pe titluri de capital având la bază o singură semnătură care sunt suport al tranzacţiilor respective, după caz, are aceleași componente. </w:t>
            </w:r>
          </w:p>
          <w:p w14:paraId="0F04193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În sensul articolului 278, instituţiile calculează majorarea aferentă categoriei de risc privind titlurile de capital pentru un anumit set de compensare după cum urmează: </w:t>
            </w:r>
          </w:p>
          <w:p w14:paraId="2B48C1B4"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1F0C65A" wp14:editId="7CF63A1E">
                  <wp:extent cx="2538518" cy="336430"/>
                  <wp:effectExtent l="0" t="0" r="0" b="6985"/>
                  <wp:docPr id="61891597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42125" cy="350161"/>
                          </a:xfrm>
                          <a:prstGeom prst="rect">
                            <a:avLst/>
                          </a:prstGeom>
                          <a:noFill/>
                        </pic:spPr>
                      </pic:pic>
                    </a:graphicData>
                  </a:graphic>
                </wp:inline>
              </w:drawing>
            </w:r>
          </w:p>
          <w:p w14:paraId="213BE4F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11CCAC8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AddOn </w:t>
            </w:r>
            <w:r w:rsidRPr="003B14E9">
              <w:rPr>
                <w:rFonts w:ascii="Times New Roman" w:hAnsi="Times New Roman"/>
                <w:color w:val="000000"/>
                <w:sz w:val="18"/>
                <w:szCs w:val="18"/>
                <w:vertAlign w:val="superscript"/>
              </w:rPr>
              <w:t>Titluri de capital</w:t>
            </w:r>
            <w:r w:rsidRPr="003B14E9">
              <w:rPr>
                <w:rFonts w:ascii="Times New Roman" w:hAnsi="Times New Roman"/>
                <w:color w:val="000000"/>
                <w:sz w:val="18"/>
                <w:szCs w:val="18"/>
              </w:rPr>
              <w:t xml:space="preserve"> = majorarea aferentă categoriei de risc privind titlurile de capital; </w:t>
            </w:r>
          </w:p>
          <w:p w14:paraId="7402AE99"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j = indicele care desemnează toate seturile de acoperire a riscului privind titlurile de capital stabilite în conformitate cu articolul 277a alineatul (1) litera (d) și cu articolul 277a alineatul (2) pentru setul de compensare; și </w:t>
            </w:r>
            <w:r w:rsidRPr="003B14E9">
              <w:rPr>
                <w:rFonts w:ascii="Times New Roman" w:hAnsi="Times New Roman"/>
                <w:b/>
                <w:bCs/>
                <w:color w:val="000000"/>
                <w:sz w:val="18"/>
                <w:szCs w:val="18"/>
              </w:rPr>
              <w:t>▼M8</w:t>
            </w:r>
          </w:p>
          <w:p w14:paraId="25F1065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0D207F6C" wp14:editId="32C502B7">
                  <wp:extent cx="1069676" cy="208153"/>
                  <wp:effectExtent l="0" t="0" r="0" b="1905"/>
                  <wp:docPr id="81465637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07756" cy="215563"/>
                          </a:xfrm>
                          <a:prstGeom prst="rect">
                            <a:avLst/>
                          </a:prstGeom>
                          <a:noFill/>
                        </pic:spPr>
                      </pic:pic>
                    </a:graphicData>
                  </a:graphic>
                </wp:inline>
              </w:drawing>
            </w:r>
            <w:r w:rsidRPr="003B14E9">
              <w:rPr>
                <w:rFonts w:ascii="Times New Roman" w:hAnsi="Times New Roman"/>
                <w:color w:val="000000"/>
                <w:sz w:val="18"/>
                <w:szCs w:val="18"/>
              </w:rPr>
              <w:t xml:space="preserve">= majorarea aferentă categoriei de risc privind titlurile de capital pentru setul de acoperire a riscului j calculat în conformitate cu alineatul (3). </w:t>
            </w:r>
          </w:p>
          <w:p w14:paraId="2A8CFAAB" w14:textId="77777777" w:rsidR="00622402" w:rsidRPr="003B14E9" w:rsidRDefault="00622402" w:rsidP="00622402">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(3) Instituţiile calculează majorarea aferentă categoriei de risc privind titlurile de capital pentru setul de acoperire a riscului j după cum urmează: </w:t>
            </w:r>
            <w:r w:rsidRPr="003B14E9">
              <w:rPr>
                <w:rFonts w:ascii="Times New Roman" w:hAnsi="Times New Roman"/>
                <w:b/>
                <w:bCs/>
                <w:color w:val="000000"/>
                <w:sz w:val="18"/>
                <w:szCs w:val="18"/>
              </w:rPr>
              <w:t xml:space="preserve">▼C7 ▼M8 </w:t>
            </w:r>
          </w:p>
          <w:p w14:paraId="7D793B66" w14:textId="77777777" w:rsidR="00622402" w:rsidRPr="003B14E9" w:rsidRDefault="00622402" w:rsidP="00622402">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B05EDF6" wp14:editId="3D86DB25">
                  <wp:extent cx="2683175" cy="483079"/>
                  <wp:effectExtent l="0" t="0" r="3175" b="0"/>
                  <wp:docPr id="38423408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16025" cy="561009"/>
                          </a:xfrm>
                          <a:prstGeom prst="rect">
                            <a:avLst/>
                          </a:prstGeom>
                          <a:noFill/>
                        </pic:spPr>
                      </pic:pic>
                    </a:graphicData>
                  </a:graphic>
                </wp:inline>
              </w:drawing>
            </w:r>
          </w:p>
          <w:p w14:paraId="2EE8AA9F"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2EE6654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lastRenderedPageBreak/>
              <w:drawing>
                <wp:inline distT="0" distB="0" distL="0" distR="0" wp14:anchorId="7992000A" wp14:editId="71188B85">
                  <wp:extent cx="922438" cy="181154"/>
                  <wp:effectExtent l="0" t="0" r="0" b="9525"/>
                  <wp:docPr id="178731667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30603" cy="182758"/>
                          </a:xfrm>
                          <a:prstGeom prst="rect">
                            <a:avLst/>
                          </a:prstGeom>
                          <a:noFill/>
                        </pic:spPr>
                      </pic:pic>
                    </a:graphicData>
                  </a:graphic>
                </wp:inline>
              </w:drawing>
            </w:r>
            <w:r w:rsidRPr="003B14E9">
              <w:rPr>
                <w:rFonts w:ascii="Times New Roman" w:hAnsi="Times New Roman"/>
                <w:color w:val="000000"/>
                <w:sz w:val="18"/>
                <w:szCs w:val="18"/>
              </w:rPr>
              <w:t xml:space="preserve"> = majorarea aferentă categoriei de risc privind titlurile de capital pentru setul de acoperire a riscului j; </w:t>
            </w:r>
          </w:p>
          <w:p w14:paraId="57C78A7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є</w:t>
            </w:r>
            <w:r w:rsidRPr="003B14E9">
              <w:rPr>
                <w:rFonts w:ascii="Times New Roman" w:hAnsi="Times New Roman"/>
                <w:color w:val="000000"/>
                <w:sz w:val="18"/>
                <w:szCs w:val="18"/>
                <w:vertAlign w:val="subscript"/>
              </w:rPr>
              <w:t xml:space="preserve">j </w:t>
            </w:r>
            <w:r w:rsidRPr="003B14E9">
              <w:rPr>
                <w:rFonts w:ascii="Times New Roman" w:hAnsi="Times New Roman"/>
                <w:color w:val="000000"/>
                <w:sz w:val="18"/>
                <w:szCs w:val="18"/>
              </w:rPr>
              <w:t xml:space="preserve">= coeficientul factorului impus de autorităţile de supraveghere aferent setului de acoperire a riscului pentru setul de acoperire a riscului j determinat în conformitate cu articolul 280; </w:t>
            </w:r>
          </w:p>
          <w:p w14:paraId="1D17C9E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k = indicele care desemnează entităţile de referinţă privind titlurile de capital ale setului de compensare stabilit în conformitate cu alineatul (1); </w:t>
            </w:r>
          </w:p>
          <w:p w14:paraId="34A87DA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55AD7250" wp14:editId="7A0750C8">
                  <wp:extent cx="722096" cy="189781"/>
                  <wp:effectExtent l="0" t="0" r="1905" b="1270"/>
                  <wp:docPr id="156082706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65152" cy="201097"/>
                          </a:xfrm>
                          <a:prstGeom prst="rect">
                            <a:avLst/>
                          </a:prstGeom>
                          <a:noFill/>
                        </pic:spPr>
                      </pic:pic>
                    </a:graphicData>
                  </a:graphic>
                </wp:inline>
              </w:drawing>
            </w:r>
            <w:r w:rsidRPr="003B14E9">
              <w:rPr>
                <w:rFonts w:ascii="Times New Roman" w:hAnsi="Times New Roman"/>
                <w:color w:val="000000"/>
                <w:sz w:val="18"/>
                <w:szCs w:val="18"/>
              </w:rPr>
              <w:t xml:space="preserve">= factorul de corelare al entităţii de referinţă privind titlurile de capital k; în cazul în care entitatea de referinţă privind titlurile de capital k a fost stabilită în conformitate cu alineatul (1) litera (a), </w:t>
            </w:r>
          </w:p>
          <w:p w14:paraId="3EE84881"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5B3142D" wp14:editId="4219BE37">
                  <wp:extent cx="1604513" cy="278669"/>
                  <wp:effectExtent l="0" t="0" r="0" b="7620"/>
                  <wp:docPr id="1484689712" name="Picture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28835" cy="282893"/>
                          </a:xfrm>
                          <a:prstGeom prst="rect">
                            <a:avLst/>
                          </a:prstGeom>
                          <a:noFill/>
                          <a:ln>
                            <a:noFill/>
                          </a:ln>
                        </pic:spPr>
                      </pic:pic>
                    </a:graphicData>
                  </a:graphic>
                </wp:inline>
              </w:drawing>
            </w:r>
          </w:p>
          <w:p w14:paraId="70324D7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entitatea de referinţă privind titlurile de capital k a fost stabilită în conformitate cu alineatul (1) litera (b), </w:t>
            </w:r>
          </w:p>
          <w:p w14:paraId="54D378F8"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0A322D6" wp14:editId="3D7C6A4C">
                  <wp:extent cx="1500996" cy="261876"/>
                  <wp:effectExtent l="0" t="0" r="4445" b="5080"/>
                  <wp:docPr id="321702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31593" cy="267214"/>
                          </a:xfrm>
                          <a:prstGeom prst="rect">
                            <a:avLst/>
                          </a:prstGeom>
                          <a:noFill/>
                        </pic:spPr>
                      </pic:pic>
                    </a:graphicData>
                  </a:graphic>
                </wp:inline>
              </w:drawing>
            </w:r>
          </w:p>
          <w:p w14:paraId="4FD4A3BA"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 și </w:t>
            </w:r>
          </w:p>
          <w:p w14:paraId="2B99E40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AddOn(Entitate</w:t>
            </w:r>
            <w:r w:rsidRPr="003B14E9">
              <w:rPr>
                <w:rFonts w:ascii="Times New Roman" w:hAnsi="Times New Roman"/>
                <w:color w:val="000000"/>
                <w:sz w:val="18"/>
                <w:szCs w:val="18"/>
                <w:vertAlign w:val="subscript"/>
              </w:rPr>
              <w:t>k</w:t>
            </w:r>
            <w:r w:rsidRPr="003B14E9">
              <w:rPr>
                <w:rFonts w:ascii="Times New Roman" w:hAnsi="Times New Roman"/>
                <w:color w:val="000000"/>
                <w:sz w:val="18"/>
                <w:szCs w:val="18"/>
              </w:rPr>
              <w:t xml:space="preserve"> ) = majorarea pentru entitatea de referinţă privind titlurile de capital k determinată în conformitate cu alineatul (4). </w:t>
            </w:r>
          </w:p>
          <w:p w14:paraId="49CE7328" w14:textId="77777777" w:rsidR="00622402" w:rsidRPr="003B14E9" w:rsidRDefault="00622402" w:rsidP="00622402">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(4) Instituţiile calculează majorarea pentru entitatea de referinţă privind titlurile de capital k după cum urmează: </w:t>
            </w:r>
          </w:p>
          <w:p w14:paraId="1024945C" w14:textId="77777777" w:rsidR="00622402" w:rsidRPr="003B14E9" w:rsidRDefault="00622402" w:rsidP="00622402">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6906B781" wp14:editId="41BABE28">
                  <wp:extent cx="2542891" cy="138023"/>
                  <wp:effectExtent l="0" t="0" r="0" b="0"/>
                  <wp:docPr id="25106065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55049" cy="165822"/>
                          </a:xfrm>
                          <a:prstGeom prst="rect">
                            <a:avLst/>
                          </a:prstGeom>
                          <a:noFill/>
                        </pic:spPr>
                      </pic:pic>
                    </a:graphicData>
                  </a:graphic>
                </wp:inline>
              </w:drawing>
            </w:r>
          </w:p>
          <w:p w14:paraId="665C443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7CB1038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AddOn(Entitate</w:t>
            </w:r>
            <w:r w:rsidRPr="003B14E9">
              <w:rPr>
                <w:rFonts w:ascii="Times New Roman" w:hAnsi="Times New Roman"/>
                <w:color w:val="000000"/>
                <w:sz w:val="18"/>
                <w:szCs w:val="18"/>
                <w:vertAlign w:val="subscript"/>
              </w:rPr>
              <w:t>k</w:t>
            </w:r>
            <w:r w:rsidRPr="003B14E9">
              <w:rPr>
                <w:rFonts w:ascii="Times New Roman" w:hAnsi="Times New Roman"/>
                <w:color w:val="000000"/>
                <w:sz w:val="18"/>
                <w:szCs w:val="18"/>
              </w:rPr>
              <w:t xml:space="preserve"> ) = majorarea pentru entitatea de referinţă privind titlurile de capital k; </w:t>
            </w:r>
          </w:p>
          <w:p w14:paraId="2DE182A6"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341DECC2" wp14:editId="7B109B5A">
                  <wp:extent cx="952577" cy="224287"/>
                  <wp:effectExtent l="0" t="0" r="0" b="4445"/>
                  <wp:docPr id="2120662674" name="Picture 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88988" cy="232860"/>
                          </a:xfrm>
                          <a:prstGeom prst="rect">
                            <a:avLst/>
                          </a:prstGeom>
                          <a:noFill/>
                          <a:ln>
                            <a:noFill/>
                          </a:ln>
                        </pic:spPr>
                      </pic:pic>
                    </a:graphicData>
                  </a:graphic>
                </wp:inline>
              </w:drawing>
            </w:r>
            <w:r w:rsidRPr="003B14E9">
              <w:rPr>
                <w:rFonts w:ascii="Times New Roman" w:hAnsi="Times New Roman"/>
                <w:color w:val="000000"/>
                <w:sz w:val="18"/>
                <w:szCs w:val="18"/>
              </w:rPr>
              <w:t xml:space="preserve">= factorul impus de autorităţile de supraveghere aplicabil entităţii de referinţă privind titlurile de capital k; în cazul în care entitatea de referinţă privind titlurile de capital k a fost stabilită în conformitate cu alineatul (1) litera (a), </w:t>
            </w:r>
          </w:p>
          <w:p w14:paraId="3F5DF917"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4724B379" wp14:editId="6605F276">
                  <wp:extent cx="1478696" cy="241540"/>
                  <wp:effectExtent l="0" t="0" r="7620" b="6350"/>
                  <wp:docPr id="102121596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89469" cy="243300"/>
                          </a:xfrm>
                          <a:prstGeom prst="rect">
                            <a:avLst/>
                          </a:prstGeom>
                          <a:noFill/>
                        </pic:spPr>
                      </pic:pic>
                    </a:graphicData>
                  </a:graphic>
                </wp:inline>
              </w:drawing>
            </w:r>
          </w:p>
          <w:p w14:paraId="1329B89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în cazul în care entitatea de referinţă privind titlurile de capital k a fost stabilită în conformitate cu alineatul (1) litera (b), </w:t>
            </w:r>
          </w:p>
          <w:p w14:paraId="429ADBB5"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0D3379FA" wp14:editId="0ADB2EE2">
                  <wp:extent cx="1725283" cy="281819"/>
                  <wp:effectExtent l="0" t="0" r="0" b="4445"/>
                  <wp:docPr id="107120430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43547" cy="284802"/>
                          </a:xfrm>
                          <a:prstGeom prst="rect">
                            <a:avLst/>
                          </a:prstGeom>
                          <a:noFill/>
                        </pic:spPr>
                      </pic:pic>
                    </a:graphicData>
                  </a:graphic>
                </wp:inline>
              </w:drawing>
            </w:r>
          </w:p>
          <w:p w14:paraId="49EB95B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 și </w:t>
            </w:r>
          </w:p>
          <w:p w14:paraId="6DDB0A4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15A25D62" wp14:editId="10E544CF">
                  <wp:extent cx="1357917" cy="258792"/>
                  <wp:effectExtent l="0" t="0" r="0" b="8255"/>
                  <wp:docPr id="1148833769" name="Picture 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79843" cy="262971"/>
                          </a:xfrm>
                          <a:prstGeom prst="rect">
                            <a:avLst/>
                          </a:prstGeom>
                          <a:noFill/>
                          <a:ln>
                            <a:noFill/>
                          </a:ln>
                        </pic:spPr>
                      </pic:pic>
                    </a:graphicData>
                  </a:graphic>
                </wp:inline>
              </w:drawing>
            </w:r>
            <w:r w:rsidRPr="003B14E9">
              <w:rPr>
                <w:rFonts w:ascii="Times New Roman" w:hAnsi="Times New Roman"/>
                <w:color w:val="000000"/>
                <w:sz w:val="18"/>
                <w:szCs w:val="18"/>
              </w:rPr>
              <w:t xml:space="preserve">= valoarea noţională efectivă a entităţii de referinţă privind titlurile de capital k, calculată după cum urmează: </w:t>
            </w:r>
          </w:p>
          <w:p w14:paraId="07256716"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468D6243" wp14:editId="38FF6C7F">
                  <wp:extent cx="2640468" cy="224287"/>
                  <wp:effectExtent l="0" t="0" r="7620" b="4445"/>
                  <wp:docPr id="103812533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36623" cy="240949"/>
                          </a:xfrm>
                          <a:prstGeom prst="rect">
                            <a:avLst/>
                          </a:prstGeom>
                          <a:noFill/>
                        </pic:spPr>
                      </pic:pic>
                    </a:graphicData>
                  </a:graphic>
                </wp:inline>
              </w:drawing>
            </w:r>
          </w:p>
          <w:p w14:paraId="40F07A0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6487345D"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l = indicele care desemnează poziţia de risc (RiskPosition). </w:t>
            </w:r>
          </w:p>
          <w:p w14:paraId="001833CF" w14:textId="77777777" w:rsidR="00622402" w:rsidRPr="003B14E9" w:rsidRDefault="00622402" w:rsidP="00622402">
            <w:pPr>
              <w:pStyle w:val="CM4"/>
              <w:spacing w:before="60" w:after="60"/>
              <w:rPr>
                <w:rFonts w:ascii="Times New Roman" w:hAnsi="Times New Roman"/>
                <w:i/>
                <w:iCs/>
                <w:color w:val="000000"/>
                <w:sz w:val="20"/>
                <w:szCs w:val="20"/>
              </w:rPr>
            </w:pPr>
          </w:p>
        </w:tc>
        <w:tc>
          <w:tcPr>
            <w:tcW w:w="4425" w:type="dxa"/>
            <w:shd w:val="clear" w:color="auto" w:fill="auto"/>
          </w:tcPr>
          <w:p w14:paraId="39F21AE8" w14:textId="77777777" w:rsidR="00622402" w:rsidRPr="003B14E9" w:rsidRDefault="00622402" w:rsidP="00622402">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Secțiunea a 15-a</w:t>
            </w:r>
          </w:p>
          <w:p w14:paraId="17FEF6CC" w14:textId="77777777" w:rsidR="00622402" w:rsidRPr="003B14E9" w:rsidRDefault="00622402" w:rsidP="00622402">
            <w:pPr>
              <w:pStyle w:val="Default"/>
              <w:jc w:val="center"/>
              <w:rPr>
                <w:rFonts w:ascii="Times New Roman" w:hAnsi="Times New Roman" w:cs="Times New Roman"/>
                <w:b/>
                <w:bCs/>
                <w:sz w:val="18"/>
                <w:szCs w:val="18"/>
              </w:rPr>
            </w:pPr>
            <w:r w:rsidRPr="003B14E9">
              <w:rPr>
                <w:rFonts w:ascii="Times New Roman" w:hAnsi="Times New Roman" w:cs="Times New Roman"/>
                <w:b/>
                <w:bCs/>
                <w:sz w:val="18"/>
                <w:szCs w:val="18"/>
              </w:rPr>
              <w:t>Majorarea aferentă categoriei de risc privind titlurile de capital</w:t>
            </w:r>
          </w:p>
          <w:p w14:paraId="2B4EB2A6"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73.</w:t>
            </w:r>
            <w:r w:rsidRPr="003B14E9">
              <w:rPr>
                <w:rFonts w:ascii="Times New Roman" w:hAnsi="Times New Roman" w:cs="Times New Roman"/>
                <w:sz w:val="18"/>
                <w:szCs w:val="18"/>
              </w:rPr>
              <w:t xml:space="preserve"> În sensul punctului 74, băncile stabilesc entităţile de referinţă relevante privind titlurile de capital pentru setul de compensare în conformitate cu următoarele: </w:t>
            </w:r>
          </w:p>
          <w:p w14:paraId="0528492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1) pentru fiecare emitent al unui instrument de capital de referinţă care este suport al unei tranzacţii având la bază o singură semnătură atribuite categoriei de risc privind titlurile de capital există o singură entitate de referinţă privind titlurile de capital; tranzacţiile având la bază o singură semnătură sunt atribuite aceleiași entităţi de referinţă privind titlurile de capital numai în cazul în care instrumentul de capital de referinţă care este suport al tranzacţiilor respective este emis de același emitent; </w:t>
            </w:r>
          </w:p>
          <w:p w14:paraId="758BDFAB"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2) pentru fiecare grup de instrumente de capital de referinţă sau de instrumente financiare derivate pe titluri de capital având la bază o singură semnătură care sunt suport al unei tranzacţii având la bază mai multe semnături atribuite </w:t>
            </w:r>
            <w:r w:rsidRPr="003B14E9">
              <w:rPr>
                <w:rFonts w:ascii="Times New Roman" w:hAnsi="Times New Roman" w:cs="Times New Roman"/>
                <w:sz w:val="18"/>
                <w:szCs w:val="18"/>
              </w:rPr>
              <w:lastRenderedPageBreak/>
              <w:t xml:space="preserve">categoriei de risc privind titlurile de capital există o singură entitate de referinţă privind titlurile de capital; tranzacţiile având la bază mai multe semnături sunt atribuite aceleiași entităţi de referinţă privind titlurile de capital numai în cazul în care grupul de instrumente de capital de referinţă sau de instrumente financiare derivate pe titluri de capital având la bază o singură semnătură care sunt suport al tranzacţiilor respective, după caz, are aceleași componente. </w:t>
            </w:r>
          </w:p>
          <w:p w14:paraId="1210964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74.</w:t>
            </w:r>
            <w:r w:rsidRPr="003B14E9">
              <w:rPr>
                <w:rFonts w:ascii="Times New Roman" w:hAnsi="Times New Roman" w:cs="Times New Roman"/>
                <w:sz w:val="18"/>
                <w:szCs w:val="18"/>
              </w:rPr>
              <w:t xml:space="preserve"> În sensul punctelor 51-53, băncile calculează majorarea aferentă categoriei de risc privind titlurile de capital pentru un anumit set de compensare după cum urmează: </w:t>
            </w:r>
          </w:p>
          <w:p w14:paraId="21624F67"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520E4D4" wp14:editId="79F74CCA">
                  <wp:extent cx="2587337" cy="342900"/>
                  <wp:effectExtent l="0" t="0" r="3810" b="0"/>
                  <wp:docPr id="874477176" name="Picture 874477176" descr="A mathematical equation with a equal sig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15979" name="Picture 41" descr="A mathematical equation with a equal sign  Description automatically generated with medium confidenc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49787" cy="351177"/>
                          </a:xfrm>
                          <a:prstGeom prst="rect">
                            <a:avLst/>
                          </a:prstGeom>
                          <a:noFill/>
                        </pic:spPr>
                      </pic:pic>
                    </a:graphicData>
                  </a:graphic>
                </wp:inline>
              </w:drawing>
            </w:r>
          </w:p>
          <w:p w14:paraId="538CF6F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61EA2AD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AddOn </w:t>
            </w:r>
            <w:r w:rsidRPr="003B14E9">
              <w:rPr>
                <w:rFonts w:ascii="Times New Roman" w:hAnsi="Times New Roman" w:cs="Times New Roman"/>
                <w:sz w:val="18"/>
                <w:szCs w:val="18"/>
                <w:vertAlign w:val="superscript"/>
              </w:rPr>
              <w:t>Titluri de capital</w:t>
            </w:r>
            <w:r w:rsidRPr="003B14E9">
              <w:rPr>
                <w:rFonts w:ascii="Times New Roman" w:hAnsi="Times New Roman" w:cs="Times New Roman"/>
                <w:sz w:val="18"/>
                <w:szCs w:val="18"/>
              </w:rPr>
              <w:t xml:space="preserve"> = majorarea aferentă categoriei de risc privind titlurile de capital; </w:t>
            </w:r>
          </w:p>
          <w:p w14:paraId="6F79F87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j = indicele care desemnează toate seturile de acoperire a riscului privind titlurile de capital stabilite în conformitate cu punctul 48 subpunctul 4) și cu punctul 49 pentru setul de compensare; și </w:t>
            </w:r>
          </w:p>
          <w:p w14:paraId="353D7A7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F49CEEE" wp14:editId="6D944983">
                  <wp:extent cx="1337094" cy="260191"/>
                  <wp:effectExtent l="0" t="0" r="0" b="6985"/>
                  <wp:docPr id="435708002" name="Picture 43570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56210" cy="263911"/>
                          </a:xfrm>
                          <a:prstGeom prst="rect">
                            <a:avLst/>
                          </a:prstGeom>
                          <a:noFill/>
                        </pic:spPr>
                      </pic:pic>
                    </a:graphicData>
                  </a:graphic>
                </wp:inline>
              </w:drawing>
            </w:r>
            <w:r w:rsidRPr="003B14E9">
              <w:rPr>
                <w:rFonts w:ascii="Times New Roman" w:hAnsi="Times New Roman" w:cs="Times New Roman"/>
                <w:sz w:val="18"/>
                <w:szCs w:val="18"/>
              </w:rPr>
              <w:t>= majorarea aferentă categoriei de risc privind titlurile de capital pentru setul de acoperire a riscului j calculat în conformitate cu punctul 75.</w:t>
            </w:r>
          </w:p>
          <w:p w14:paraId="12911376"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75.</w:t>
            </w:r>
            <w:r w:rsidRPr="003B14E9">
              <w:rPr>
                <w:rFonts w:ascii="Times New Roman" w:hAnsi="Times New Roman" w:cs="Times New Roman"/>
                <w:sz w:val="18"/>
                <w:szCs w:val="18"/>
              </w:rPr>
              <w:t xml:space="preserve"> Băncile calculează majorarea aferentă categoriei de risc privind titlurile de capital pentru setul de acoperire a riscului j după cum urmează: </w:t>
            </w:r>
          </w:p>
          <w:p w14:paraId="62A4479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r w:rsidRPr="003B14E9">
              <w:rPr>
                <w:rFonts w:ascii="Times New Roman" w:hAnsi="Times New Roman" w:cs="Times New Roman"/>
                <w:noProof/>
                <w:sz w:val="18"/>
                <w:szCs w:val="18"/>
              </w:rPr>
              <w:drawing>
                <wp:inline distT="0" distB="0" distL="0" distR="0" wp14:anchorId="6CD52A9C" wp14:editId="48D0A4F9">
                  <wp:extent cx="2308860" cy="428625"/>
                  <wp:effectExtent l="0" t="0" r="0" b="9525"/>
                  <wp:docPr id="659299679" name="Picture 659299679" descr="A close-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34082" name="Picture 43" descr="A close-up of a sign  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21258" cy="468055"/>
                          </a:xfrm>
                          <a:prstGeom prst="rect">
                            <a:avLst/>
                          </a:prstGeom>
                          <a:noFill/>
                        </pic:spPr>
                      </pic:pic>
                    </a:graphicData>
                  </a:graphic>
                </wp:inline>
              </w:drawing>
            </w:r>
          </w:p>
          <w:p w14:paraId="535C699D"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1B4C977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r w:rsidRPr="003B14E9">
              <w:rPr>
                <w:rFonts w:ascii="Times New Roman" w:hAnsi="Times New Roman" w:cs="Times New Roman"/>
                <w:noProof/>
                <w:sz w:val="18"/>
                <w:szCs w:val="18"/>
              </w:rPr>
              <w:drawing>
                <wp:inline distT="0" distB="0" distL="0" distR="0" wp14:anchorId="0755B981" wp14:editId="7EBA438E">
                  <wp:extent cx="1335405" cy="262255"/>
                  <wp:effectExtent l="0" t="0" r="0" b="4445"/>
                  <wp:docPr id="939653298" name="Picture 93965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35405" cy="262255"/>
                          </a:xfrm>
                          <a:prstGeom prst="rect">
                            <a:avLst/>
                          </a:prstGeom>
                          <a:noFill/>
                        </pic:spPr>
                      </pic:pic>
                    </a:graphicData>
                  </a:graphic>
                </wp:inline>
              </w:drawing>
            </w:r>
            <w:r w:rsidRPr="003B14E9">
              <w:rPr>
                <w:rFonts w:ascii="Times New Roman" w:hAnsi="Times New Roman" w:cs="Times New Roman"/>
                <w:sz w:val="18"/>
                <w:szCs w:val="18"/>
              </w:rPr>
              <w:t xml:space="preserve"> = majorarea aferentă categoriei de risc privind titlurile de capital pentru setul de acoperire a riscului j; </w:t>
            </w:r>
          </w:p>
          <w:p w14:paraId="645C35A7" w14:textId="77777777" w:rsidR="00622402" w:rsidRPr="003B14E9" w:rsidRDefault="00622402" w:rsidP="00622402">
            <w:pPr>
              <w:jc w:val="both"/>
              <w:rPr>
                <w:rFonts w:eastAsiaTheme="minorHAnsi"/>
                <w:color w:val="000000"/>
                <w:sz w:val="18"/>
                <w:szCs w:val="18"/>
                <w:lang w:val="ro-MD" w:eastAsia="en-US"/>
                <w14:ligatures w14:val="standardContextual"/>
              </w:rPr>
            </w:pPr>
            <w:r w:rsidRPr="003B14E9">
              <w:rPr>
                <w:sz w:val="18"/>
                <w:szCs w:val="18"/>
              </w:rPr>
              <w:lastRenderedPageBreak/>
              <w:t>є</w:t>
            </w:r>
            <w:r w:rsidRPr="003B14E9">
              <w:rPr>
                <w:sz w:val="18"/>
                <w:szCs w:val="18"/>
                <w:lang w:val="en-US"/>
              </w:rPr>
              <w:t xml:space="preserve">j = </w:t>
            </w:r>
            <w:r w:rsidRPr="003B14E9">
              <w:rPr>
                <w:rFonts w:eastAsiaTheme="minorHAnsi"/>
                <w:color w:val="000000"/>
                <w:sz w:val="18"/>
                <w:szCs w:val="18"/>
                <w:lang w:val="ro-MD" w:eastAsia="en-US"/>
                <w14:ligatures w14:val="standardContextual"/>
              </w:rPr>
              <w:t xml:space="preserve">coeficientul factorului impus de Banca Națională a Moldovei aferent setului de acoperire a riscului pentru setul de acoperire a riscului j determinat în conformitate cu punctul 62; </w:t>
            </w:r>
          </w:p>
          <w:p w14:paraId="40833E0E" w14:textId="77777777" w:rsidR="00622402" w:rsidRPr="003B14E9" w:rsidRDefault="00622402" w:rsidP="00622402">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color w:val="000000"/>
                <w:sz w:val="18"/>
                <w:szCs w:val="18"/>
                <w:lang w:val="ro-MD" w:eastAsia="en-US"/>
                <w14:ligatures w14:val="standardContextual"/>
              </w:rPr>
              <w:t xml:space="preserve">k = indicele care desemnează entităţile de referinţă privind titlurile de capital ale setului de compensare stabilit în conformitate cu punctul 73; </w:t>
            </w:r>
          </w:p>
          <w:p w14:paraId="05F078A1"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ABE998B" wp14:editId="0D154630">
                  <wp:extent cx="974785" cy="256193"/>
                  <wp:effectExtent l="0" t="0" r="0" b="0"/>
                  <wp:docPr id="671871670" name="Picture 67187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20171" cy="268121"/>
                          </a:xfrm>
                          <a:prstGeom prst="rect">
                            <a:avLst/>
                          </a:prstGeom>
                          <a:noFill/>
                        </pic:spPr>
                      </pic:pic>
                    </a:graphicData>
                  </a:graphic>
                </wp:inline>
              </w:drawing>
            </w:r>
            <w:r w:rsidRPr="003B14E9">
              <w:rPr>
                <w:rFonts w:ascii="Times New Roman" w:hAnsi="Times New Roman" w:cs="Times New Roman"/>
                <w:sz w:val="18"/>
                <w:szCs w:val="18"/>
              </w:rPr>
              <w:t xml:space="preserve">= factorul de corelare al entităţii de referinţă privind titlurile de capital k. În cazul în care entitatea de referinţă privind titlurile de capital k a fost stabilită în conformitate cu punctul 73 subpunctul 1), </w:t>
            </w:r>
          </w:p>
          <w:p w14:paraId="75506E49"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4324701" wp14:editId="17DAA13F">
                  <wp:extent cx="1604513" cy="278669"/>
                  <wp:effectExtent l="0" t="0" r="0" b="7620"/>
                  <wp:docPr id="680061692" name="Picture 68006169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28835" cy="282893"/>
                          </a:xfrm>
                          <a:prstGeom prst="rect">
                            <a:avLst/>
                          </a:prstGeom>
                          <a:noFill/>
                          <a:ln>
                            <a:noFill/>
                          </a:ln>
                        </pic:spPr>
                      </pic:pic>
                    </a:graphicData>
                  </a:graphic>
                </wp:inline>
              </w:drawing>
            </w:r>
          </w:p>
          <w:p w14:paraId="29A3D06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În cazul în care entitatea de referinţă privind titlurile de capital k a fost stabilită în conformitate cu punctul 73 subpunctul 2), </w:t>
            </w:r>
          </w:p>
          <w:p w14:paraId="0C7E7F7F"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968A3FC" wp14:editId="7E67D9ED">
                  <wp:extent cx="1500996" cy="261876"/>
                  <wp:effectExtent l="0" t="0" r="4445" b="5080"/>
                  <wp:docPr id="1464466042" name="Picture 146446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31593" cy="267214"/>
                          </a:xfrm>
                          <a:prstGeom prst="rect">
                            <a:avLst/>
                          </a:prstGeom>
                          <a:noFill/>
                        </pic:spPr>
                      </pic:pic>
                    </a:graphicData>
                  </a:graphic>
                </wp:inline>
              </w:drawing>
            </w:r>
            <w:r w:rsidRPr="003B14E9">
              <w:rPr>
                <w:rFonts w:ascii="Times New Roman" w:hAnsi="Times New Roman" w:cs="Times New Roman"/>
                <w:sz w:val="18"/>
                <w:szCs w:val="18"/>
              </w:rPr>
              <w:t xml:space="preserve">; și </w:t>
            </w:r>
          </w:p>
          <w:p w14:paraId="6BEDE59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AddOn(Entitatek ) = majorarea pentru entitatea de referinţă privind titlurile de capital k determinată în conformitate cu punctul 76. </w:t>
            </w:r>
          </w:p>
          <w:p w14:paraId="208D52AF"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76.</w:t>
            </w:r>
            <w:r w:rsidRPr="003B14E9">
              <w:rPr>
                <w:rFonts w:ascii="Times New Roman" w:hAnsi="Times New Roman" w:cs="Times New Roman"/>
                <w:sz w:val="18"/>
                <w:szCs w:val="18"/>
              </w:rPr>
              <w:t xml:space="preserve"> Băncile calculează majorarea pentru entitatea de referinţă privind titlurile de capital k după cum urmează:</w:t>
            </w:r>
          </w:p>
          <w:p w14:paraId="68A9B70C"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1206210" wp14:editId="025F0184">
                  <wp:extent cx="2456797" cy="133350"/>
                  <wp:effectExtent l="0" t="0" r="1270" b="0"/>
                  <wp:docPr id="864782528" name="Picture 864782528" descr="A close 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60654" name="Picture 48" descr="A close up of a sign  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9149" cy="151389"/>
                          </a:xfrm>
                          <a:prstGeom prst="rect">
                            <a:avLst/>
                          </a:prstGeom>
                          <a:noFill/>
                        </pic:spPr>
                      </pic:pic>
                    </a:graphicData>
                  </a:graphic>
                </wp:inline>
              </w:drawing>
            </w:r>
          </w:p>
          <w:p w14:paraId="51E03F6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p>
          <w:p w14:paraId="22ECDF1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7436F6D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AddOn(Entitatek ) = majorarea pentru entitatea de referinţă privind titlurile de capital k; </w:t>
            </w:r>
          </w:p>
          <w:p w14:paraId="7BA8FB4F" w14:textId="77777777" w:rsidR="00622402" w:rsidRPr="003B14E9" w:rsidRDefault="00622402" w:rsidP="00622402">
            <w:pPr>
              <w:jc w:val="both"/>
              <w:rPr>
                <w:rFonts w:eastAsiaTheme="minorHAnsi"/>
                <w:color w:val="000000"/>
                <w:lang w:val="ro-MD" w:eastAsia="en-US"/>
                <w14:ligatures w14:val="standardContextual"/>
              </w:rPr>
            </w:pPr>
            <w:r w:rsidRPr="003B14E9">
              <w:rPr>
                <w:noProof/>
                <w:sz w:val="18"/>
                <w:szCs w:val="18"/>
                <w:lang w:val="en-US" w:eastAsia="en-US"/>
              </w:rPr>
              <w:drawing>
                <wp:inline distT="0" distB="0" distL="0" distR="0" wp14:anchorId="11C9E89E" wp14:editId="09EDA9B4">
                  <wp:extent cx="952577" cy="224287"/>
                  <wp:effectExtent l="0" t="0" r="0" b="4445"/>
                  <wp:docPr id="1790886303" name="Picture 179088630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88988" cy="232860"/>
                          </a:xfrm>
                          <a:prstGeom prst="rect">
                            <a:avLst/>
                          </a:prstGeom>
                          <a:noFill/>
                          <a:ln>
                            <a:noFill/>
                          </a:ln>
                        </pic:spPr>
                      </pic:pic>
                    </a:graphicData>
                  </a:graphic>
                </wp:inline>
              </w:drawing>
            </w:r>
            <w:r w:rsidRPr="003B14E9">
              <w:rPr>
                <w:sz w:val="18"/>
                <w:szCs w:val="18"/>
                <w:lang w:val="en-US"/>
              </w:rPr>
              <w:t xml:space="preserve">= </w:t>
            </w:r>
            <w:r w:rsidRPr="003B14E9">
              <w:rPr>
                <w:rFonts w:eastAsiaTheme="minorHAnsi"/>
                <w:color w:val="000000"/>
                <w:sz w:val="18"/>
                <w:szCs w:val="18"/>
                <w:lang w:val="ro-MD" w:eastAsia="en-US"/>
                <w14:ligatures w14:val="standardContextual"/>
              </w:rPr>
              <w:t>factorul impus de Banca Națională a Moldovei aplicabil entităţii de referinţă privind titlurile de capital k. În cazul în care entitatea de referinţă privind titlurile de capital k a fost stabilită în conformitate cu punctul 73 subpunctul 1),</w:t>
            </w:r>
            <w:r w:rsidRPr="003B14E9">
              <w:rPr>
                <w:rFonts w:eastAsiaTheme="minorHAnsi"/>
                <w:color w:val="000000"/>
                <w:lang w:val="ro-MD" w:eastAsia="en-US"/>
                <w14:ligatures w14:val="standardContextual"/>
              </w:rPr>
              <w:t xml:space="preserve"> </w:t>
            </w:r>
          </w:p>
          <w:p w14:paraId="1CBDF81E"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lastRenderedPageBreak/>
              <w:drawing>
                <wp:inline distT="0" distB="0" distL="0" distR="0" wp14:anchorId="7D9420A0" wp14:editId="36B489D8">
                  <wp:extent cx="1478696" cy="241540"/>
                  <wp:effectExtent l="0" t="0" r="7620" b="6350"/>
                  <wp:docPr id="672024481" name="Picture 67202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89469" cy="243300"/>
                          </a:xfrm>
                          <a:prstGeom prst="rect">
                            <a:avLst/>
                          </a:prstGeom>
                          <a:noFill/>
                        </pic:spPr>
                      </pic:pic>
                    </a:graphicData>
                  </a:graphic>
                </wp:inline>
              </w:drawing>
            </w:r>
          </w:p>
          <w:p w14:paraId="3EE45876"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în cazul în care entitatea de referinţă privind titlurile de capital k a fost stabilită în conformitate cu punctul 73 subpunctul 2), </w:t>
            </w:r>
          </w:p>
          <w:p w14:paraId="59227E3B"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718F6B7" wp14:editId="23BD9CC1">
                  <wp:extent cx="1725283" cy="281819"/>
                  <wp:effectExtent l="0" t="0" r="0" b="4445"/>
                  <wp:docPr id="921962034" name="Picture 92196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43547" cy="284802"/>
                          </a:xfrm>
                          <a:prstGeom prst="rect">
                            <a:avLst/>
                          </a:prstGeom>
                          <a:noFill/>
                        </pic:spPr>
                      </pic:pic>
                    </a:graphicData>
                  </a:graphic>
                </wp:inline>
              </w:drawing>
            </w:r>
          </w:p>
          <w:p w14:paraId="1B5195B2"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și </w:t>
            </w:r>
          </w:p>
          <w:p w14:paraId="23E89599"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C335C86" wp14:editId="1971544D">
                  <wp:extent cx="1357917" cy="258792"/>
                  <wp:effectExtent l="0" t="0" r="0" b="8255"/>
                  <wp:docPr id="380168368" name="Picture 3801683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79843" cy="262971"/>
                          </a:xfrm>
                          <a:prstGeom prst="rect">
                            <a:avLst/>
                          </a:prstGeom>
                          <a:noFill/>
                          <a:ln>
                            <a:noFill/>
                          </a:ln>
                        </pic:spPr>
                      </pic:pic>
                    </a:graphicData>
                  </a:graphic>
                </wp:inline>
              </w:drawing>
            </w:r>
            <w:r w:rsidRPr="003B14E9">
              <w:rPr>
                <w:rFonts w:ascii="Times New Roman" w:hAnsi="Times New Roman" w:cs="Times New Roman"/>
                <w:sz w:val="18"/>
                <w:szCs w:val="18"/>
              </w:rPr>
              <w:t xml:space="preserve">= valoarea noţională efectivă a entităţii de referinţă privind titlurile de capital k, calculată după cum urmează: </w:t>
            </w:r>
          </w:p>
          <w:p w14:paraId="2CBFD072"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BBBDCB9" wp14:editId="610F7B5F">
                  <wp:extent cx="2579109" cy="219075"/>
                  <wp:effectExtent l="0" t="0" r="0" b="0"/>
                  <wp:docPr id="684624299" name="Picture 68462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66666" cy="226512"/>
                          </a:xfrm>
                          <a:prstGeom prst="rect">
                            <a:avLst/>
                          </a:prstGeom>
                          <a:noFill/>
                        </pic:spPr>
                      </pic:pic>
                    </a:graphicData>
                  </a:graphic>
                </wp:inline>
              </w:drawing>
            </w:r>
          </w:p>
          <w:p w14:paraId="55AC724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53A968A8"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l = indicele care desemnează poziţia de risc (RiskPosition). </w:t>
            </w:r>
          </w:p>
          <w:p w14:paraId="3B883197"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72E339D5" w14:textId="29FCE75F" w:rsidR="00622402" w:rsidRPr="003B14E9" w:rsidRDefault="00622402" w:rsidP="00622402">
            <w:pPr>
              <w:jc w:val="both"/>
              <w:rPr>
                <w:sz w:val="18"/>
                <w:szCs w:val="18"/>
                <w:lang w:val="ro-MD"/>
              </w:rPr>
            </w:pPr>
            <w:r w:rsidRPr="003B14E9">
              <w:rPr>
                <w:sz w:val="18"/>
                <w:szCs w:val="18"/>
                <w:lang w:val="ro-MD"/>
              </w:rPr>
              <w:lastRenderedPageBreak/>
              <w:t>Compatibil</w:t>
            </w:r>
          </w:p>
        </w:tc>
        <w:tc>
          <w:tcPr>
            <w:tcW w:w="3041" w:type="dxa"/>
          </w:tcPr>
          <w:p w14:paraId="122E8EE7" w14:textId="77777777" w:rsidR="00622402" w:rsidRPr="003B14E9" w:rsidRDefault="00622402" w:rsidP="00622402">
            <w:pPr>
              <w:rPr>
                <w:sz w:val="18"/>
                <w:szCs w:val="18"/>
                <w:highlight w:val="red"/>
                <w:lang w:val="ro-MD"/>
              </w:rPr>
            </w:pPr>
          </w:p>
        </w:tc>
        <w:tc>
          <w:tcPr>
            <w:tcW w:w="1055" w:type="dxa"/>
            <w:tcBorders>
              <w:top w:val="single" w:sz="4" w:space="0" w:color="auto"/>
              <w:bottom w:val="single" w:sz="4" w:space="0" w:color="auto"/>
            </w:tcBorders>
          </w:tcPr>
          <w:p w14:paraId="1F2CE466"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1842E48A" w14:textId="77777777" w:rsidR="00622402" w:rsidRPr="003B14E9" w:rsidRDefault="00622402" w:rsidP="00622402">
            <w:pPr>
              <w:jc w:val="both"/>
              <w:rPr>
                <w:sz w:val="18"/>
                <w:szCs w:val="18"/>
                <w:lang w:val="ro-MD"/>
              </w:rPr>
            </w:pPr>
          </w:p>
        </w:tc>
      </w:tr>
      <w:tr w:rsidR="00622402" w:rsidRPr="003B14E9" w14:paraId="3DA8C6BF" w14:textId="77777777" w:rsidTr="00604EF1">
        <w:trPr>
          <w:trHeight w:val="918"/>
        </w:trPr>
        <w:tc>
          <w:tcPr>
            <w:tcW w:w="4473" w:type="dxa"/>
          </w:tcPr>
          <w:p w14:paraId="080C3662" w14:textId="6212BC34" w:rsidR="00622402" w:rsidRPr="003B14E9" w:rsidRDefault="00622402" w:rsidP="00BB4169">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lastRenderedPageBreak/>
              <w:t>Articolul 280e</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Majorarea aferentă categoriei de risc de marfă</w:t>
            </w:r>
          </w:p>
          <w:p w14:paraId="578EF47D" w14:textId="77777777" w:rsidR="00622402" w:rsidRPr="003B14E9" w:rsidRDefault="00622402" w:rsidP="00622402">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t xml:space="preserve">(1) În sensul articolului 278, instituţiile calculează majorarea aferentă categoriei de risc de marfă pentru un anumit set de compensare după cum urmează: </w:t>
            </w:r>
          </w:p>
          <w:p w14:paraId="224643AB"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F3A4BB6" wp14:editId="0A77718B">
                  <wp:extent cx="1406106" cy="297945"/>
                  <wp:effectExtent l="0" t="0" r="3810" b="6985"/>
                  <wp:docPr id="180301040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53060" cy="307894"/>
                          </a:xfrm>
                          <a:prstGeom prst="rect">
                            <a:avLst/>
                          </a:prstGeom>
                          <a:noFill/>
                          <a:ln>
                            <a:noFill/>
                          </a:ln>
                        </pic:spPr>
                      </pic:pic>
                    </a:graphicData>
                  </a:graphic>
                </wp:inline>
              </w:drawing>
            </w:r>
          </w:p>
          <w:p w14:paraId="7C9EABF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6E373EE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AddOn</w:t>
            </w:r>
            <w:r w:rsidRPr="003B14E9">
              <w:rPr>
                <w:rFonts w:ascii="Times New Roman" w:hAnsi="Times New Roman"/>
                <w:color w:val="000000"/>
                <w:sz w:val="18"/>
                <w:szCs w:val="18"/>
                <w:vertAlign w:val="superscript"/>
              </w:rPr>
              <w:t>Marfă</w:t>
            </w:r>
            <w:r w:rsidRPr="003B14E9">
              <w:rPr>
                <w:rFonts w:ascii="Times New Roman" w:hAnsi="Times New Roman"/>
                <w:color w:val="000000"/>
                <w:sz w:val="18"/>
                <w:szCs w:val="18"/>
              </w:rPr>
              <w:t xml:space="preserve"> = majorarea aferentă categoriei de risc de marfă; </w:t>
            </w:r>
          </w:p>
          <w:p w14:paraId="5875E609"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j = indicele care desemnează seturile de acoperire a risc- ului de marfă stabilite în conformitate cu articolul 277a alineatul (1) litera (e) și cu articolul 277a alineatul (2) pentru setul de compensare; și </w:t>
            </w:r>
          </w:p>
          <w:p w14:paraId="3E06BC5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234B8E9B" wp14:editId="24AA9120">
                  <wp:extent cx="750498" cy="238100"/>
                  <wp:effectExtent l="0" t="0" r="0" b="0"/>
                  <wp:docPr id="857730981" name="Picture 5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76291" cy="246283"/>
                          </a:xfrm>
                          <a:prstGeom prst="rect">
                            <a:avLst/>
                          </a:prstGeom>
                          <a:noFill/>
                          <a:ln>
                            <a:noFill/>
                          </a:ln>
                        </pic:spPr>
                      </pic:pic>
                    </a:graphicData>
                  </a:graphic>
                </wp:inline>
              </w:drawing>
            </w:r>
            <w:r w:rsidRPr="003B14E9">
              <w:rPr>
                <w:rFonts w:ascii="Times New Roman" w:hAnsi="Times New Roman"/>
                <w:color w:val="000000"/>
                <w:sz w:val="18"/>
                <w:szCs w:val="18"/>
              </w:rPr>
              <w:t xml:space="preserve">= majorarea aferentă categoriei de risc de marfă pentru setul de acoperire a riscului j calculat în conformitate cu alineatul (4). </w:t>
            </w:r>
          </w:p>
          <w:p w14:paraId="2373291F"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Pentru a calcula majorarea aferentă unui set de acoperire a riscului de marfă pentru un anumit set de compensare în conformitate cu alineatul (4), instituţiile stabilesc tipurile de marfă de referinţă relevante pentru fiecare set de acoperire a riscului. Tranzacţiile cu instrumente financiare derivate pe mărfuri sunt atribuite aceluiași tip de marfă de referinţă numai în cazul în care instrumentul pe mărfuri care este suport al tranzacţiilor respective este de aceeași natură, indiferent de locul de livrare și de calitatea instrumentului pe mărfuri. </w:t>
            </w:r>
          </w:p>
          <w:p w14:paraId="13FD5ED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(3) Prin derogare de la alineatul (2), autorităţile competente pot impune unei instituţii care este expusă într-o măsură semnificativă riscului de bază al unor diferite poziţii care au aceeași natură ca cele menţionate la alineatul (2) să stabilească tipurile de marfă de referinţă pentru poziţiile respective utilizând mai multe caracteristici pe lângă simpla natură a instrumentului pe mărfuri care este suport al tranzacţiilor. Într-o astfel de situaţie, tranzacţiile cu instrumente financiare derivate pe mărfuri sunt atribuite aceluiași tip de marfă de referinţă numai în cazul în care împărtășesc caracteristicile respective. </w:t>
            </w:r>
          </w:p>
          <w:p w14:paraId="7A2CD42B" w14:textId="77777777" w:rsidR="00622402" w:rsidRPr="003B14E9" w:rsidRDefault="00622402" w:rsidP="00622402">
            <w:pPr>
              <w:pStyle w:val="CM4"/>
              <w:spacing w:before="60" w:after="60"/>
              <w:rPr>
                <w:rFonts w:ascii="Times New Roman" w:hAnsi="Times New Roman"/>
                <w:b/>
                <w:bCs/>
                <w:color w:val="000000"/>
                <w:sz w:val="18"/>
                <w:szCs w:val="18"/>
              </w:rPr>
            </w:pPr>
            <w:r w:rsidRPr="003B14E9">
              <w:rPr>
                <w:rFonts w:ascii="Times New Roman" w:hAnsi="Times New Roman"/>
                <w:color w:val="000000"/>
                <w:sz w:val="18"/>
                <w:szCs w:val="18"/>
              </w:rPr>
              <w:lastRenderedPageBreak/>
              <w:t xml:space="preserve">(4) Instituţiile calculează majorarea aferentă categoriei de risc de marfă pentru setul de acoperire a riscului j după cum urmează: </w:t>
            </w:r>
          </w:p>
          <w:p w14:paraId="24D462F2" w14:textId="77777777" w:rsidR="00622402" w:rsidRPr="003B14E9" w:rsidRDefault="00622402" w:rsidP="00622402">
            <w:pPr>
              <w:pStyle w:val="Default"/>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E8E30AC" wp14:editId="6FEE0B3A">
                  <wp:extent cx="2586465" cy="439947"/>
                  <wp:effectExtent l="0" t="0" r="4445" b="0"/>
                  <wp:docPr id="1732357739" name="Picture 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23634" cy="463279"/>
                          </a:xfrm>
                          <a:prstGeom prst="rect">
                            <a:avLst/>
                          </a:prstGeom>
                          <a:noFill/>
                          <a:ln>
                            <a:noFill/>
                          </a:ln>
                        </pic:spPr>
                      </pic:pic>
                    </a:graphicData>
                  </a:graphic>
                </wp:inline>
              </w:drawing>
            </w:r>
          </w:p>
          <w:p w14:paraId="02E491F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15C179F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1A319A9F" wp14:editId="7C0584A0">
                  <wp:extent cx="724619" cy="229889"/>
                  <wp:effectExtent l="0" t="0" r="0" b="0"/>
                  <wp:docPr id="1906071241" name="Picture 5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43718" cy="235948"/>
                          </a:xfrm>
                          <a:prstGeom prst="rect">
                            <a:avLst/>
                          </a:prstGeom>
                          <a:noFill/>
                          <a:ln>
                            <a:noFill/>
                          </a:ln>
                        </pic:spPr>
                      </pic:pic>
                    </a:graphicData>
                  </a:graphic>
                </wp:inline>
              </w:drawing>
            </w:r>
            <w:r w:rsidRPr="003B14E9">
              <w:rPr>
                <w:rFonts w:ascii="Times New Roman" w:hAnsi="Times New Roman"/>
                <w:color w:val="000000"/>
                <w:sz w:val="18"/>
                <w:szCs w:val="18"/>
              </w:rPr>
              <w:t xml:space="preserve">= majorarea aferentă categoriei de risc de marfă pentru setul de acoperire a riscului j; </w:t>
            </w:r>
          </w:p>
          <w:p w14:paraId="3A70D78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є</w:t>
            </w:r>
            <w:r w:rsidRPr="003B14E9">
              <w:rPr>
                <w:rFonts w:ascii="Times New Roman" w:hAnsi="Times New Roman"/>
                <w:color w:val="000000"/>
                <w:sz w:val="18"/>
                <w:szCs w:val="18"/>
                <w:vertAlign w:val="subscript"/>
              </w:rPr>
              <w:t>j</w:t>
            </w:r>
            <w:r w:rsidRPr="003B14E9">
              <w:rPr>
                <w:rFonts w:ascii="Times New Roman" w:hAnsi="Times New Roman"/>
                <w:color w:val="000000"/>
                <w:sz w:val="18"/>
                <w:szCs w:val="18"/>
              </w:rPr>
              <w:t xml:space="preserve"> = coeficientul factorului impus de autorităţile de supraveghere aferent setului de acoperire a riscului pentru setul de acoperire a riscului j determinat în conformitate cu articolul 280; </w:t>
            </w:r>
          </w:p>
          <w:p w14:paraId="1608CB2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ρ</w:t>
            </w:r>
            <w:r w:rsidRPr="003B14E9">
              <w:rPr>
                <w:rFonts w:ascii="Times New Roman" w:hAnsi="Times New Roman"/>
                <w:color w:val="000000"/>
                <w:sz w:val="18"/>
                <w:szCs w:val="18"/>
                <w:vertAlign w:val="superscript"/>
              </w:rPr>
              <w:t>Marfă</w:t>
            </w:r>
            <w:r w:rsidRPr="003B14E9">
              <w:rPr>
                <w:rFonts w:ascii="Times New Roman" w:hAnsi="Times New Roman"/>
                <w:color w:val="000000"/>
                <w:sz w:val="18"/>
                <w:szCs w:val="18"/>
              </w:rPr>
              <w:t xml:space="preserve"> = factorul de corelare pentru categoria de risc de marfă cu o valoare egală cu 40 %; </w:t>
            </w:r>
          </w:p>
          <w:p w14:paraId="6A677096"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k = indicele care desemnează tipurile de marfă de re- ferinţă aferente setului de compensare stabilite în conformitate cu alineatul (2); și </w:t>
            </w:r>
          </w:p>
          <w:p w14:paraId="1D57124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7ABDD72C" wp14:editId="5FF4A64C">
                  <wp:extent cx="724535" cy="240001"/>
                  <wp:effectExtent l="0" t="0" r="0" b="8255"/>
                  <wp:docPr id="39902545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48475" cy="247931"/>
                          </a:xfrm>
                          <a:prstGeom prst="rect">
                            <a:avLst/>
                          </a:prstGeom>
                          <a:noFill/>
                        </pic:spPr>
                      </pic:pic>
                    </a:graphicData>
                  </a:graphic>
                </wp:inline>
              </w:drawing>
            </w:r>
            <w:r w:rsidRPr="003B14E9">
              <w:rPr>
                <w:rFonts w:ascii="Times New Roman" w:hAnsi="Times New Roman"/>
                <w:color w:val="000000"/>
                <w:sz w:val="18"/>
                <w:szCs w:val="18"/>
              </w:rPr>
              <w:t xml:space="preserve">= majorarea aferentă tipului de marfă de referinţă k, calculată în conformitate cu alineatul (5). </w:t>
            </w:r>
          </w:p>
          <w:p w14:paraId="3064AA7F"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(5) Instituţiile calculează majorarea pentru tipul de marfă de referinţă k după cum urmează: </w:t>
            </w:r>
          </w:p>
          <w:p w14:paraId="20EDA44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7C3FEF9"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79CA06E" wp14:editId="5EC3683D">
                  <wp:extent cx="2306600" cy="301925"/>
                  <wp:effectExtent l="0" t="0" r="0" b="3175"/>
                  <wp:docPr id="2104705203" name="Picture 5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68864" cy="310075"/>
                          </a:xfrm>
                          <a:prstGeom prst="rect">
                            <a:avLst/>
                          </a:prstGeom>
                          <a:noFill/>
                          <a:ln>
                            <a:noFill/>
                          </a:ln>
                        </pic:spPr>
                      </pic:pic>
                    </a:graphicData>
                  </a:graphic>
                </wp:inline>
              </w:drawing>
            </w:r>
          </w:p>
          <w:p w14:paraId="151985BA" w14:textId="77777777" w:rsidR="00622402" w:rsidRPr="003B14E9" w:rsidRDefault="00622402" w:rsidP="00622402">
            <w:pPr>
              <w:pStyle w:val="CM4"/>
              <w:spacing w:before="60" w:after="60"/>
              <w:rPr>
                <w:rFonts w:ascii="Times New Roman" w:hAnsi="Times New Roman"/>
                <w:b/>
                <w:bCs/>
                <w:color w:val="000000"/>
                <w:sz w:val="18"/>
                <w:szCs w:val="18"/>
              </w:rPr>
            </w:pPr>
            <w:r w:rsidRPr="003B14E9">
              <w:rPr>
                <w:rFonts w:ascii="Times New Roman" w:hAnsi="Times New Roman"/>
                <w:noProof/>
                <w:sz w:val="18"/>
                <w:szCs w:val="18"/>
              </w:rPr>
              <w:drawing>
                <wp:inline distT="0" distB="0" distL="0" distR="0" wp14:anchorId="0982C28E" wp14:editId="786E859E">
                  <wp:extent cx="871268" cy="290543"/>
                  <wp:effectExtent l="0" t="0" r="5080" b="0"/>
                  <wp:docPr id="249735574" name="Picture 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7753" cy="292706"/>
                          </a:xfrm>
                          <a:prstGeom prst="rect">
                            <a:avLst/>
                          </a:prstGeom>
                          <a:noFill/>
                          <a:ln>
                            <a:noFill/>
                          </a:ln>
                        </pic:spPr>
                      </pic:pic>
                    </a:graphicData>
                  </a:graphic>
                </wp:inline>
              </w:drawing>
            </w:r>
            <w:r w:rsidRPr="003B14E9">
              <w:rPr>
                <w:rFonts w:ascii="Times New Roman" w:hAnsi="Times New Roman"/>
                <w:color w:val="000000"/>
                <w:sz w:val="18"/>
                <w:szCs w:val="18"/>
              </w:rPr>
              <w:t xml:space="preserve">= majorarea pentru tipul de marfă de referinţă k; </w:t>
            </w:r>
          </w:p>
          <w:p w14:paraId="0F2C004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4308FBE7" wp14:editId="4AB4B059">
                  <wp:extent cx="457200" cy="179363"/>
                  <wp:effectExtent l="0" t="0" r="0" b="0"/>
                  <wp:docPr id="191093979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8325" cy="187651"/>
                          </a:xfrm>
                          <a:prstGeom prst="rect">
                            <a:avLst/>
                          </a:prstGeom>
                          <a:noFill/>
                        </pic:spPr>
                      </pic:pic>
                    </a:graphicData>
                  </a:graphic>
                </wp:inline>
              </w:drawing>
            </w:r>
            <w:r w:rsidRPr="003B14E9">
              <w:rPr>
                <w:rFonts w:ascii="Times New Roman" w:hAnsi="Times New Roman"/>
                <w:color w:val="000000"/>
                <w:sz w:val="18"/>
                <w:szCs w:val="18"/>
              </w:rPr>
              <w:t xml:space="preserve">= factorul impus de autorităţile de supraveghere aplicabil tipului de marfă de referinţă k; în cazul în care tipul de marfă de referinţă k corespunde unor tranzacţii </w:t>
            </w:r>
            <w:r w:rsidRPr="003B14E9">
              <w:rPr>
                <w:rFonts w:ascii="Times New Roman" w:hAnsi="Times New Roman"/>
                <w:color w:val="000000"/>
                <w:sz w:val="18"/>
                <w:szCs w:val="18"/>
              </w:rPr>
              <w:lastRenderedPageBreak/>
              <w:t xml:space="preserve">atribuite setului de acoperire a riscului menţionat la articolul 277a alineatul (1) litera (e), cu excepţia tranzacţiilor privind energia electrică, </w:t>
            </w:r>
            <w:r w:rsidRPr="003B14E9">
              <w:rPr>
                <w:rFonts w:ascii="Times New Roman" w:hAnsi="Times New Roman"/>
                <w:noProof/>
                <w:color w:val="000000"/>
                <w:sz w:val="18"/>
                <w:szCs w:val="18"/>
              </w:rPr>
              <w:drawing>
                <wp:inline distT="0" distB="0" distL="0" distR="0" wp14:anchorId="10DE2199" wp14:editId="34BBA733">
                  <wp:extent cx="825094" cy="155276"/>
                  <wp:effectExtent l="0" t="0" r="0" b="0"/>
                  <wp:docPr id="15581939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57227" cy="161323"/>
                          </a:xfrm>
                          <a:prstGeom prst="rect">
                            <a:avLst/>
                          </a:prstGeom>
                          <a:noFill/>
                        </pic:spPr>
                      </pic:pic>
                    </a:graphicData>
                  </a:graphic>
                </wp:inline>
              </w:drawing>
            </w:r>
            <w:r w:rsidRPr="003B14E9">
              <w:rPr>
                <w:rFonts w:ascii="Times New Roman" w:hAnsi="Times New Roman"/>
                <w:color w:val="000000"/>
                <w:sz w:val="18"/>
                <w:szCs w:val="18"/>
              </w:rPr>
              <w:t xml:space="preserve">; pentru tranzacţiile privind energia electrică, </w:t>
            </w:r>
            <w:r w:rsidRPr="003B14E9">
              <w:rPr>
                <w:rFonts w:ascii="Times New Roman" w:hAnsi="Times New Roman"/>
                <w:noProof/>
                <w:color w:val="000000"/>
                <w:sz w:val="18"/>
                <w:szCs w:val="18"/>
              </w:rPr>
              <w:drawing>
                <wp:inline distT="0" distB="0" distL="0" distR="0" wp14:anchorId="1E0A2758" wp14:editId="06943051">
                  <wp:extent cx="854015" cy="160719"/>
                  <wp:effectExtent l="0" t="0" r="3810" b="0"/>
                  <wp:docPr id="79031956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85243" cy="166596"/>
                          </a:xfrm>
                          <a:prstGeom prst="rect">
                            <a:avLst/>
                          </a:prstGeom>
                          <a:noFill/>
                        </pic:spPr>
                      </pic:pic>
                    </a:graphicData>
                  </a:graphic>
                </wp:inline>
              </w:drawing>
            </w:r>
            <w:r w:rsidRPr="003B14E9">
              <w:rPr>
                <w:rFonts w:ascii="Times New Roman" w:hAnsi="Times New Roman"/>
                <w:color w:val="000000"/>
                <w:sz w:val="18"/>
                <w:szCs w:val="18"/>
              </w:rPr>
              <w:t xml:space="preserve">; și </w:t>
            </w:r>
            <w:r w:rsidRPr="003B14E9">
              <w:rPr>
                <w:rFonts w:ascii="Times New Roman" w:hAnsi="Times New Roman"/>
                <w:b/>
                <w:bCs/>
                <w:color w:val="000000"/>
                <w:sz w:val="18"/>
                <w:szCs w:val="18"/>
              </w:rPr>
              <w:t xml:space="preserve">▼M8 </w:t>
            </w:r>
          </w:p>
          <w:p w14:paraId="2614214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7E0E42A1" wp14:editId="041F04F7">
                  <wp:extent cx="763751" cy="232914"/>
                  <wp:effectExtent l="0" t="0" r="0" b="0"/>
                  <wp:docPr id="1466913292" name="Picture 6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80185" cy="237926"/>
                          </a:xfrm>
                          <a:prstGeom prst="rect">
                            <a:avLst/>
                          </a:prstGeom>
                          <a:noFill/>
                          <a:ln>
                            <a:noFill/>
                          </a:ln>
                        </pic:spPr>
                      </pic:pic>
                    </a:graphicData>
                  </a:graphic>
                </wp:inline>
              </w:drawing>
            </w:r>
            <w:r w:rsidRPr="003B14E9">
              <w:rPr>
                <w:rFonts w:ascii="Times New Roman" w:hAnsi="Times New Roman"/>
                <w:color w:val="000000"/>
                <w:sz w:val="18"/>
                <w:szCs w:val="18"/>
              </w:rPr>
              <w:t xml:space="preserve">= valoarea noţională efectivă a tipului de marfă de referinţă k, calculată după cum urmează: </w:t>
            </w:r>
          </w:p>
          <w:p w14:paraId="6D4D6713"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50E2F8E" wp14:editId="7C431A6C">
                  <wp:extent cx="2225345" cy="276045"/>
                  <wp:effectExtent l="0" t="0" r="3810" b="0"/>
                  <wp:docPr id="92262817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12602" cy="286869"/>
                          </a:xfrm>
                          <a:prstGeom prst="rect">
                            <a:avLst/>
                          </a:prstGeom>
                          <a:noFill/>
                        </pic:spPr>
                      </pic:pic>
                    </a:graphicData>
                  </a:graphic>
                </wp:inline>
              </w:drawing>
            </w:r>
          </w:p>
          <w:p w14:paraId="4D782C4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14A71A33" w14:textId="16477AAF" w:rsidR="00622402" w:rsidRPr="003B14E9" w:rsidRDefault="00622402" w:rsidP="00622402">
            <w:pPr>
              <w:pStyle w:val="CM4"/>
              <w:spacing w:before="60" w:after="60"/>
              <w:rPr>
                <w:rFonts w:ascii="Times New Roman" w:hAnsi="Times New Roman"/>
                <w:i/>
                <w:iCs/>
                <w:color w:val="000000"/>
                <w:sz w:val="20"/>
                <w:szCs w:val="20"/>
              </w:rPr>
            </w:pPr>
            <w:r w:rsidRPr="003B14E9">
              <w:rPr>
                <w:rFonts w:ascii="Times New Roman" w:hAnsi="Times New Roman"/>
                <w:color w:val="000000"/>
                <w:sz w:val="18"/>
                <w:szCs w:val="18"/>
              </w:rPr>
              <w:t>l = indicele care desemnează poziţia de risc (RiskPosition).</w:t>
            </w:r>
          </w:p>
        </w:tc>
        <w:tc>
          <w:tcPr>
            <w:tcW w:w="4425" w:type="dxa"/>
            <w:shd w:val="clear" w:color="auto" w:fill="auto"/>
          </w:tcPr>
          <w:p w14:paraId="35599826" w14:textId="77777777" w:rsidR="00622402" w:rsidRPr="003B14E9" w:rsidRDefault="00622402" w:rsidP="00622402">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Secțiunea a 16-a</w:t>
            </w:r>
          </w:p>
          <w:p w14:paraId="492EA778" w14:textId="77777777" w:rsidR="00622402" w:rsidRPr="003B14E9" w:rsidRDefault="00622402" w:rsidP="00622402">
            <w:pPr>
              <w:pStyle w:val="Default"/>
              <w:jc w:val="center"/>
              <w:rPr>
                <w:rFonts w:ascii="Times New Roman" w:hAnsi="Times New Roman" w:cs="Times New Roman"/>
                <w:b/>
                <w:bCs/>
                <w:sz w:val="18"/>
                <w:szCs w:val="18"/>
              </w:rPr>
            </w:pPr>
            <w:r w:rsidRPr="003B14E9">
              <w:rPr>
                <w:rFonts w:ascii="Times New Roman" w:hAnsi="Times New Roman" w:cs="Times New Roman"/>
                <w:b/>
                <w:bCs/>
                <w:sz w:val="18"/>
                <w:szCs w:val="18"/>
              </w:rPr>
              <w:t>Majorarea aferentă categoriei de risc de marfă</w:t>
            </w:r>
          </w:p>
          <w:p w14:paraId="1DDB933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77.</w:t>
            </w:r>
            <w:r w:rsidRPr="003B14E9">
              <w:rPr>
                <w:rFonts w:ascii="Times New Roman" w:hAnsi="Times New Roman" w:cs="Times New Roman"/>
                <w:sz w:val="18"/>
                <w:szCs w:val="18"/>
              </w:rPr>
              <w:t xml:space="preserve"> În sensul punctelor 51-53, băncile calculează majorarea aferentă categoriei de risc de marfă pentru un anumit set de compensare după cum urmează: </w:t>
            </w:r>
          </w:p>
          <w:p w14:paraId="0BAC738A"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689454E" wp14:editId="5B3466E0">
                  <wp:extent cx="1958196" cy="414930"/>
                  <wp:effectExtent l="0" t="0" r="4445" b="4445"/>
                  <wp:docPr id="1683718502" name="Picture 168371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79693" cy="419485"/>
                          </a:xfrm>
                          <a:prstGeom prst="rect">
                            <a:avLst/>
                          </a:prstGeom>
                          <a:noFill/>
                          <a:ln>
                            <a:noFill/>
                          </a:ln>
                        </pic:spPr>
                      </pic:pic>
                    </a:graphicData>
                  </a:graphic>
                </wp:inline>
              </w:drawing>
            </w:r>
          </w:p>
          <w:p w14:paraId="71D9299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331D18A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lastRenderedPageBreak/>
              <w:t>AddOn</w:t>
            </w:r>
            <w:r w:rsidRPr="003B14E9">
              <w:rPr>
                <w:rFonts w:ascii="Times New Roman" w:hAnsi="Times New Roman" w:cs="Times New Roman"/>
                <w:sz w:val="18"/>
                <w:szCs w:val="18"/>
                <w:vertAlign w:val="superscript"/>
              </w:rPr>
              <w:t>Marfă</w:t>
            </w:r>
            <w:r w:rsidRPr="003B14E9">
              <w:rPr>
                <w:rFonts w:ascii="Times New Roman" w:hAnsi="Times New Roman" w:cs="Times New Roman"/>
                <w:sz w:val="18"/>
                <w:szCs w:val="18"/>
              </w:rPr>
              <w:t xml:space="preserve"> = majorarea aferentă categoriei de risc de marfă; </w:t>
            </w:r>
          </w:p>
          <w:p w14:paraId="7E47FC02"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j = indicele care desemnează seturile de acoperire a riscului de marfă stabilite în conformitate cu punctul 48 subpunctul 5) și punctul 49 pentru setul de compensare; și </w:t>
            </w:r>
          </w:p>
          <w:p w14:paraId="2A9BD928"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45B794B" wp14:editId="4448E486">
                  <wp:extent cx="802256" cy="254520"/>
                  <wp:effectExtent l="0" t="0" r="0" b="0"/>
                  <wp:docPr id="661983154" name="Picture 66198315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21674" cy="260681"/>
                          </a:xfrm>
                          <a:prstGeom prst="rect">
                            <a:avLst/>
                          </a:prstGeom>
                          <a:noFill/>
                          <a:ln>
                            <a:noFill/>
                          </a:ln>
                        </pic:spPr>
                      </pic:pic>
                    </a:graphicData>
                  </a:graphic>
                </wp:inline>
              </w:drawing>
            </w:r>
            <w:r w:rsidRPr="003B14E9">
              <w:rPr>
                <w:rFonts w:ascii="Times New Roman" w:hAnsi="Times New Roman" w:cs="Times New Roman"/>
                <w:sz w:val="18"/>
                <w:szCs w:val="18"/>
              </w:rPr>
              <w:t xml:space="preserve">= majorarea aferentă categoriei de risc de marfă pentru setul de acoperire a riscului j calculat în conformitate cu punctul 80. </w:t>
            </w:r>
          </w:p>
          <w:p w14:paraId="37E693E5" w14:textId="77777777" w:rsidR="00622402" w:rsidRPr="003B14E9" w:rsidRDefault="00622402" w:rsidP="00622402">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78.</w:t>
            </w:r>
            <w:r w:rsidRPr="003B14E9">
              <w:rPr>
                <w:rFonts w:eastAsiaTheme="minorHAnsi"/>
                <w:color w:val="000000"/>
                <w:sz w:val="18"/>
                <w:szCs w:val="18"/>
                <w:lang w:val="ro-MD" w:eastAsia="en-US"/>
                <w14:ligatures w14:val="standardContextual"/>
              </w:rPr>
              <w:t xml:space="preserve"> Pentru a calcula majorarea aferentă unui set de acoperire a riscului de marfă pentru un anumit set de compensare în conformitate cu punctul 80, băncile stabilesc tipurile de marfă de referinţă relevante pentru fiecare set de acoperire a riscului. Tranzacţiile cu instrumente financiare derivate pe mărfuri sunt atribuite aceluiași tip de marfă de referinţă numai în cazul în care instrumentul pe mărfuri care este suport al tranzacţiilor respective este de aceeași natură, indiferent de locul de livrare și de calitatea instrumentului pe mărfuri. </w:t>
            </w:r>
          </w:p>
          <w:p w14:paraId="23C49328" w14:textId="77777777" w:rsidR="00622402" w:rsidRPr="003B14E9" w:rsidRDefault="00622402" w:rsidP="00622402">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79.</w:t>
            </w:r>
            <w:r w:rsidRPr="003B14E9">
              <w:rPr>
                <w:rFonts w:eastAsiaTheme="minorHAnsi"/>
                <w:color w:val="000000"/>
                <w:sz w:val="18"/>
                <w:szCs w:val="18"/>
                <w:lang w:val="ro-MD" w:eastAsia="en-US"/>
                <w14:ligatures w14:val="standardContextual"/>
              </w:rPr>
              <w:t xml:space="preserve"> Prin derogare de la punctul 78, Banca Națională a Moldovei poate impune unei bănci care este expusă într-o măsură semnificativă riscului de bază al unor diferite poziţii care au aceeași natură ca cele menţionate la punctul 78 să stabilească tipurile de marfă de referinţă pentru poziţiile respective utilizând mai multe caracteristici pe lângă simpla natură a instrumentului pe mărfuri care este suport al tranzacţiilor. Într-o astfel de situaţie, tranzacţiile cu instrumente financiare derivate pe mărfuri sunt atribuite aceluiași tip de marfă de referinţă numai în cazul în care împărtășesc caracteristicile respective. </w:t>
            </w:r>
          </w:p>
          <w:p w14:paraId="474E2CA3" w14:textId="77777777" w:rsidR="00622402" w:rsidRPr="003B14E9" w:rsidRDefault="00622402" w:rsidP="00622402">
            <w:pPr>
              <w:autoSpaceDE w:val="0"/>
              <w:autoSpaceDN w:val="0"/>
              <w:adjustRightInd w:val="0"/>
              <w:jc w:val="both"/>
              <w:rPr>
                <w:rFonts w:eastAsiaTheme="minorHAnsi"/>
                <w:color w:val="000000"/>
                <w:sz w:val="18"/>
                <w:szCs w:val="18"/>
                <w:lang w:val="ro-MD" w:eastAsia="en-US"/>
                <w14:ligatures w14:val="standardContextual"/>
              </w:rPr>
            </w:pPr>
            <w:r w:rsidRPr="003B14E9">
              <w:rPr>
                <w:rFonts w:eastAsiaTheme="minorHAnsi"/>
                <w:b/>
                <w:bCs/>
                <w:color w:val="000000"/>
                <w:sz w:val="18"/>
                <w:szCs w:val="18"/>
                <w:lang w:val="ro-MD" w:eastAsia="en-US"/>
                <w14:ligatures w14:val="standardContextual"/>
              </w:rPr>
              <w:t>80.</w:t>
            </w:r>
            <w:r w:rsidRPr="003B14E9">
              <w:rPr>
                <w:rFonts w:eastAsiaTheme="minorHAnsi"/>
                <w:color w:val="000000"/>
                <w:sz w:val="18"/>
                <w:szCs w:val="18"/>
                <w:lang w:val="ro-MD" w:eastAsia="en-US"/>
                <w14:ligatures w14:val="standardContextual"/>
              </w:rPr>
              <w:t xml:space="preserve"> Băncile calculează majorarea aferentă categoriei de risc de marfă pentru setul de acoperire a riscului j după cum urmează: </w:t>
            </w:r>
          </w:p>
          <w:p w14:paraId="1D135184"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B73BDF3" wp14:editId="624AE1E0">
                  <wp:extent cx="2550398" cy="314325"/>
                  <wp:effectExtent l="0" t="0" r="2540" b="0"/>
                  <wp:docPr id="229333514" name="Picture 2293335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565944" cy="316241"/>
                          </a:xfrm>
                          <a:prstGeom prst="rect">
                            <a:avLst/>
                          </a:prstGeom>
                          <a:noFill/>
                          <a:ln>
                            <a:noFill/>
                          </a:ln>
                        </pic:spPr>
                      </pic:pic>
                    </a:graphicData>
                  </a:graphic>
                </wp:inline>
              </w:drawing>
            </w:r>
          </w:p>
          <w:p w14:paraId="092B08CD"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lastRenderedPageBreak/>
              <w:t xml:space="preserve">unde: </w:t>
            </w:r>
          </w:p>
          <w:p w14:paraId="52FD5DC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6DC83CF7" wp14:editId="35D7D3D4">
                  <wp:extent cx="897297" cy="284672"/>
                  <wp:effectExtent l="0" t="0" r="0" b="1270"/>
                  <wp:docPr id="1090364501" name="Picture 109036450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11068" cy="289041"/>
                          </a:xfrm>
                          <a:prstGeom prst="rect">
                            <a:avLst/>
                          </a:prstGeom>
                          <a:noFill/>
                          <a:ln>
                            <a:noFill/>
                          </a:ln>
                        </pic:spPr>
                      </pic:pic>
                    </a:graphicData>
                  </a:graphic>
                </wp:inline>
              </w:drawing>
            </w:r>
            <w:r w:rsidRPr="003B14E9">
              <w:rPr>
                <w:rFonts w:ascii="Times New Roman" w:hAnsi="Times New Roman" w:cs="Times New Roman"/>
                <w:sz w:val="18"/>
                <w:szCs w:val="18"/>
              </w:rPr>
              <w:t xml:space="preserve">= majorarea aferentă categoriei de risc de marfă pentru setul de acoperire a riscului j; </w:t>
            </w:r>
          </w:p>
          <w:p w14:paraId="5D02F202" w14:textId="77777777" w:rsidR="00622402" w:rsidRPr="003B14E9" w:rsidRDefault="00622402" w:rsidP="00622402">
            <w:pPr>
              <w:pStyle w:val="Default"/>
              <w:ind w:firstLine="567"/>
              <w:jc w:val="both"/>
              <w:rPr>
                <w:rFonts w:ascii="Times New Roman" w:hAnsi="Times New Roman" w:cs="Times New Roman"/>
              </w:rPr>
            </w:pPr>
            <w:r w:rsidRPr="003B14E9">
              <w:rPr>
                <w:rFonts w:ascii="Times New Roman" w:hAnsi="Times New Roman" w:cs="Times New Roman"/>
                <w:sz w:val="18"/>
                <w:szCs w:val="18"/>
              </w:rPr>
              <w:t>єj = coeficientul factorului impus de Banca Națională a Moldovei aferent setului de acoperire a riscului pentru setul de acoperire a riscului j determinat în conformitate cu punctul 62;</w:t>
            </w:r>
            <w:r w:rsidRPr="003B14E9">
              <w:rPr>
                <w:rFonts w:ascii="Times New Roman" w:hAnsi="Times New Roman" w:cs="Times New Roman"/>
              </w:rPr>
              <w:t xml:space="preserve"> </w:t>
            </w:r>
          </w:p>
          <w:p w14:paraId="550B0D58"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ρMarfă = factorul de corelare pentru categoria de risc de marfă cu o valoare egală cu 40 %; </w:t>
            </w:r>
          </w:p>
          <w:p w14:paraId="240BC1E9"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k = indicele care desemnează tipurile de marfă de re- ferinţă aferente setului de compensare stabilite în conformitate cu punctul 78; și </w:t>
            </w:r>
          </w:p>
          <w:p w14:paraId="721AD26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3E64ED9" wp14:editId="256BA4B7">
                  <wp:extent cx="1041685" cy="345057"/>
                  <wp:effectExtent l="0" t="0" r="6350" b="0"/>
                  <wp:docPr id="1641098358" name="Picture 1641098358"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25456" name="Picture 58" descr="A close up of a text  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57467" cy="350285"/>
                          </a:xfrm>
                          <a:prstGeom prst="rect">
                            <a:avLst/>
                          </a:prstGeom>
                          <a:noFill/>
                        </pic:spPr>
                      </pic:pic>
                    </a:graphicData>
                  </a:graphic>
                </wp:inline>
              </w:drawing>
            </w:r>
            <w:r w:rsidRPr="003B14E9">
              <w:rPr>
                <w:rFonts w:ascii="Times New Roman" w:hAnsi="Times New Roman" w:cs="Times New Roman"/>
                <w:sz w:val="18"/>
                <w:szCs w:val="18"/>
              </w:rPr>
              <w:t>= majorarea aferentă tipului de marfă de referinţă k, calculată în conformitate cu punctul 69.</w:t>
            </w:r>
          </w:p>
          <w:p w14:paraId="0A075DB8"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81.</w:t>
            </w:r>
            <w:r w:rsidRPr="003B14E9">
              <w:rPr>
                <w:rFonts w:ascii="Times New Roman" w:hAnsi="Times New Roman" w:cs="Times New Roman"/>
                <w:sz w:val="18"/>
                <w:szCs w:val="18"/>
              </w:rPr>
              <w:t xml:space="preserve"> Băncile calculează majorarea pentru tipul de marfă de referinţă k după cum urmează: </w:t>
            </w:r>
          </w:p>
          <w:p w14:paraId="57A2FF49"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23286A24"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D9AB7B4" wp14:editId="23864936">
                  <wp:extent cx="2328564" cy="304800"/>
                  <wp:effectExtent l="0" t="0" r="0" b="0"/>
                  <wp:docPr id="995277298" name="Picture 9952772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56363" cy="308439"/>
                          </a:xfrm>
                          <a:prstGeom prst="rect">
                            <a:avLst/>
                          </a:prstGeom>
                          <a:noFill/>
                          <a:ln>
                            <a:noFill/>
                          </a:ln>
                        </pic:spPr>
                      </pic:pic>
                    </a:graphicData>
                  </a:graphic>
                </wp:inline>
              </w:drawing>
            </w:r>
          </w:p>
          <w:p w14:paraId="607C99A7"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1B367C4" wp14:editId="0AA0D187">
                  <wp:extent cx="871268" cy="290543"/>
                  <wp:effectExtent l="0" t="0" r="5080" b="0"/>
                  <wp:docPr id="1336639084" name="Picture 133663908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7753" cy="292706"/>
                          </a:xfrm>
                          <a:prstGeom prst="rect">
                            <a:avLst/>
                          </a:prstGeom>
                          <a:noFill/>
                          <a:ln>
                            <a:noFill/>
                          </a:ln>
                        </pic:spPr>
                      </pic:pic>
                    </a:graphicData>
                  </a:graphic>
                </wp:inline>
              </w:drawing>
            </w:r>
            <w:r w:rsidRPr="003B14E9">
              <w:rPr>
                <w:rFonts w:ascii="Times New Roman" w:hAnsi="Times New Roman" w:cs="Times New Roman"/>
                <w:sz w:val="18"/>
                <w:szCs w:val="18"/>
              </w:rPr>
              <w:t xml:space="preserve"> = majorarea pentru tipul de marfă de referinţă k; </w:t>
            </w:r>
          </w:p>
          <w:p w14:paraId="271F8CD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692DD51" wp14:editId="5B414BE2">
                  <wp:extent cx="457200" cy="179363"/>
                  <wp:effectExtent l="0" t="0" r="0" b="0"/>
                  <wp:docPr id="1298172822" name="Picture 1298172822" descr="A black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39797" name="Picture 61" descr="A black text on a white background  Description automatically generated"/>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78325" cy="187651"/>
                          </a:xfrm>
                          <a:prstGeom prst="rect">
                            <a:avLst/>
                          </a:prstGeom>
                          <a:noFill/>
                        </pic:spPr>
                      </pic:pic>
                    </a:graphicData>
                  </a:graphic>
                </wp:inline>
              </w:drawing>
            </w:r>
            <w:r w:rsidRPr="003B14E9">
              <w:rPr>
                <w:rFonts w:ascii="Times New Roman" w:hAnsi="Times New Roman" w:cs="Times New Roman"/>
                <w:sz w:val="18"/>
                <w:szCs w:val="18"/>
              </w:rPr>
              <w:t xml:space="preserve"> = factorul impus de Banca Națională a Moldovei</w:t>
            </w:r>
            <w:r w:rsidRPr="003B14E9">
              <w:rPr>
                <w:rFonts w:ascii="Times New Roman" w:hAnsi="Times New Roman" w:cs="Times New Roman"/>
              </w:rPr>
              <w:t xml:space="preserve"> </w:t>
            </w:r>
            <w:r w:rsidRPr="003B14E9">
              <w:rPr>
                <w:rFonts w:ascii="Times New Roman" w:hAnsi="Times New Roman" w:cs="Times New Roman"/>
                <w:sz w:val="18"/>
                <w:szCs w:val="18"/>
              </w:rPr>
              <w:t xml:space="preserve">aplicabil tipului de marfă de referinţă k. În cazul în care tipul de marfă de referinţă k corespunde unor tranzacţii atribuite setului de acoperire a riscului menţionat la punctul 48 subpunctul 5), cu excepţia tranzacţiilor privind energia electrică,  </w:t>
            </w:r>
            <w:r w:rsidRPr="003B14E9">
              <w:rPr>
                <w:rFonts w:ascii="Times New Roman" w:hAnsi="Times New Roman" w:cs="Times New Roman"/>
                <w:noProof/>
                <w:sz w:val="18"/>
                <w:szCs w:val="18"/>
              </w:rPr>
              <w:drawing>
                <wp:inline distT="0" distB="0" distL="0" distR="0" wp14:anchorId="730906AC" wp14:editId="3C51F211">
                  <wp:extent cx="825094" cy="155276"/>
                  <wp:effectExtent l="0" t="0" r="0" b="0"/>
                  <wp:docPr id="85613773" name="Picture 85613773"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391" name="Picture 62" descr="A black and white text  Description automatically generated"/>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57227" cy="161323"/>
                          </a:xfrm>
                          <a:prstGeom prst="rect">
                            <a:avLst/>
                          </a:prstGeom>
                          <a:noFill/>
                        </pic:spPr>
                      </pic:pic>
                    </a:graphicData>
                  </a:graphic>
                </wp:inline>
              </w:drawing>
            </w:r>
            <w:r w:rsidRPr="003B14E9">
              <w:rPr>
                <w:rFonts w:ascii="Times New Roman" w:hAnsi="Times New Roman" w:cs="Times New Roman"/>
                <w:sz w:val="18"/>
                <w:szCs w:val="18"/>
              </w:rPr>
              <w:t xml:space="preserve">. Pentru tranzacţiile privind energia electrică,  </w:t>
            </w:r>
            <w:r w:rsidRPr="003B14E9">
              <w:rPr>
                <w:rFonts w:ascii="Times New Roman" w:hAnsi="Times New Roman" w:cs="Times New Roman"/>
                <w:noProof/>
                <w:sz w:val="18"/>
                <w:szCs w:val="18"/>
              </w:rPr>
              <w:drawing>
                <wp:inline distT="0" distB="0" distL="0" distR="0" wp14:anchorId="2EC03A23" wp14:editId="1F8320E4">
                  <wp:extent cx="854015" cy="160719"/>
                  <wp:effectExtent l="0" t="0" r="3810" b="0"/>
                  <wp:docPr id="237037936" name="Picture 237037936"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19568" name="Picture 63" descr="A black and white text  Description automatically generated"/>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85243" cy="166596"/>
                          </a:xfrm>
                          <a:prstGeom prst="rect">
                            <a:avLst/>
                          </a:prstGeom>
                          <a:noFill/>
                        </pic:spPr>
                      </pic:pic>
                    </a:graphicData>
                  </a:graphic>
                </wp:inline>
              </w:drawing>
            </w:r>
            <w:r w:rsidRPr="003B14E9">
              <w:rPr>
                <w:rFonts w:ascii="Times New Roman" w:hAnsi="Times New Roman" w:cs="Times New Roman"/>
                <w:sz w:val="18"/>
                <w:szCs w:val="18"/>
              </w:rPr>
              <w:t xml:space="preserve">; și </w:t>
            </w:r>
          </w:p>
          <w:p w14:paraId="0069C5AF"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4918BF2" wp14:editId="5EB27078">
                  <wp:extent cx="763751" cy="232914"/>
                  <wp:effectExtent l="0" t="0" r="0" b="0"/>
                  <wp:docPr id="1197336074" name="Picture 119733607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80185" cy="237926"/>
                          </a:xfrm>
                          <a:prstGeom prst="rect">
                            <a:avLst/>
                          </a:prstGeom>
                          <a:noFill/>
                          <a:ln>
                            <a:noFill/>
                          </a:ln>
                        </pic:spPr>
                      </pic:pic>
                    </a:graphicData>
                  </a:graphic>
                </wp:inline>
              </w:drawing>
            </w:r>
            <w:r w:rsidRPr="003B14E9">
              <w:rPr>
                <w:rFonts w:ascii="Times New Roman" w:hAnsi="Times New Roman" w:cs="Times New Roman"/>
                <w:sz w:val="18"/>
                <w:szCs w:val="18"/>
              </w:rPr>
              <w:t xml:space="preserve">= valoarea noţională efectivă a tipului de marfă de referinţă k, calculată după cum urmează: </w:t>
            </w:r>
          </w:p>
          <w:p w14:paraId="74D16DF0"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lastRenderedPageBreak/>
              <w:drawing>
                <wp:inline distT="0" distB="0" distL="0" distR="0" wp14:anchorId="7E919637" wp14:editId="323CA807">
                  <wp:extent cx="2380368" cy="295275"/>
                  <wp:effectExtent l="0" t="0" r="1270" b="0"/>
                  <wp:docPr id="1391640404" name="Picture 1391640404" descr="A black and white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28175" name="Picture 65" descr="A black and white symbol  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23352" cy="300607"/>
                          </a:xfrm>
                          <a:prstGeom prst="rect">
                            <a:avLst/>
                          </a:prstGeom>
                          <a:noFill/>
                        </pic:spPr>
                      </pic:pic>
                    </a:graphicData>
                  </a:graphic>
                </wp:inline>
              </w:drawing>
            </w:r>
          </w:p>
          <w:p w14:paraId="2173863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67F03E0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l = indicele care desemnează poziţia de risc (RiskPosition). </w:t>
            </w:r>
          </w:p>
          <w:p w14:paraId="69A4C475"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7111A39A" w14:textId="5C06EBAF" w:rsidR="00622402" w:rsidRPr="003B14E9" w:rsidRDefault="00622402" w:rsidP="00622402">
            <w:pPr>
              <w:jc w:val="both"/>
              <w:rPr>
                <w:sz w:val="18"/>
                <w:szCs w:val="18"/>
                <w:lang w:val="ro-MD"/>
              </w:rPr>
            </w:pPr>
            <w:r w:rsidRPr="003B14E9">
              <w:rPr>
                <w:sz w:val="18"/>
                <w:szCs w:val="18"/>
                <w:lang w:val="ro-MD"/>
              </w:rPr>
              <w:lastRenderedPageBreak/>
              <w:t>Compatibil</w:t>
            </w:r>
          </w:p>
        </w:tc>
        <w:tc>
          <w:tcPr>
            <w:tcW w:w="3041" w:type="dxa"/>
          </w:tcPr>
          <w:p w14:paraId="4CBE48C0" w14:textId="77777777" w:rsidR="00622402" w:rsidRPr="003B14E9" w:rsidRDefault="00622402" w:rsidP="00622402">
            <w:pPr>
              <w:rPr>
                <w:sz w:val="18"/>
                <w:szCs w:val="18"/>
                <w:highlight w:val="red"/>
                <w:lang w:val="ro-MD"/>
              </w:rPr>
            </w:pPr>
          </w:p>
        </w:tc>
        <w:tc>
          <w:tcPr>
            <w:tcW w:w="1055" w:type="dxa"/>
            <w:tcBorders>
              <w:top w:val="single" w:sz="4" w:space="0" w:color="auto"/>
              <w:bottom w:val="single" w:sz="4" w:space="0" w:color="auto"/>
            </w:tcBorders>
          </w:tcPr>
          <w:p w14:paraId="3AF9C6B1"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1B483F15" w14:textId="77777777" w:rsidR="00622402" w:rsidRPr="003B14E9" w:rsidRDefault="00622402" w:rsidP="00622402">
            <w:pPr>
              <w:jc w:val="both"/>
              <w:rPr>
                <w:sz w:val="18"/>
                <w:szCs w:val="18"/>
                <w:lang w:val="ro-MD"/>
              </w:rPr>
            </w:pPr>
          </w:p>
        </w:tc>
      </w:tr>
      <w:tr w:rsidR="00622402" w:rsidRPr="003B14E9" w14:paraId="3F3E3AD7" w14:textId="77777777" w:rsidTr="00604EF1">
        <w:trPr>
          <w:trHeight w:val="918"/>
        </w:trPr>
        <w:tc>
          <w:tcPr>
            <w:tcW w:w="4473" w:type="dxa"/>
          </w:tcPr>
          <w:p w14:paraId="2346646D" w14:textId="1F5EDB1F"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lastRenderedPageBreak/>
              <w:t>Articolul 280f</w:t>
            </w:r>
            <w:r w:rsidR="00BB4169"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Majorarea aferentă categoriei alte riscuri</w:t>
            </w:r>
          </w:p>
          <w:p w14:paraId="5E877B6B"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În sensul articolului 278, instituţiile calculează majorarea aferentă categoriei alte riscuri pentru un anumit set de compensare după cum urmează: </w:t>
            </w:r>
          </w:p>
          <w:p w14:paraId="0E969F33"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1CC9D52F" wp14:editId="06043702">
                  <wp:extent cx="1958196" cy="390437"/>
                  <wp:effectExtent l="0" t="0" r="4445" b="0"/>
                  <wp:docPr id="158252368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21634" cy="403086"/>
                          </a:xfrm>
                          <a:prstGeom prst="rect">
                            <a:avLst/>
                          </a:prstGeom>
                          <a:noFill/>
                        </pic:spPr>
                      </pic:pic>
                    </a:graphicData>
                  </a:graphic>
                </wp:inline>
              </w:drawing>
            </w:r>
          </w:p>
          <w:p w14:paraId="43662D8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41ECC71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w:t>
            </w:r>
            <w:r w:rsidRPr="003B14E9">
              <w:rPr>
                <w:rFonts w:ascii="Times New Roman" w:hAnsi="Times New Roman"/>
                <w:color w:val="000000"/>
                <w:sz w:val="18"/>
                <w:szCs w:val="18"/>
                <w:vertAlign w:val="superscript"/>
              </w:rPr>
              <w:t xml:space="preserve">Altele </w:t>
            </w:r>
            <w:r w:rsidRPr="003B14E9">
              <w:rPr>
                <w:rFonts w:ascii="Times New Roman" w:hAnsi="Times New Roman"/>
                <w:color w:val="000000"/>
                <w:sz w:val="18"/>
                <w:szCs w:val="18"/>
              </w:rPr>
              <w:t xml:space="preserve">= majorarea aferentă categoriei alte riscuri; </w:t>
            </w:r>
          </w:p>
          <w:p w14:paraId="339EA8A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j = indicele care desemnează seturile de acoperire a altor riscuri stabilite în conformitate cu articolul 277a alineatul (1) litera (f) și cu articolul 277a alineatul (2) pentru setul de compensare; și </w:t>
            </w:r>
          </w:p>
          <w:p w14:paraId="68B8ECB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6ABEED6A" wp14:editId="39A6E35C">
                  <wp:extent cx="715992" cy="231486"/>
                  <wp:effectExtent l="0" t="0" r="8255" b="0"/>
                  <wp:docPr id="43327031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30858" cy="236292"/>
                          </a:xfrm>
                          <a:prstGeom prst="rect">
                            <a:avLst/>
                          </a:prstGeom>
                          <a:noFill/>
                        </pic:spPr>
                      </pic:pic>
                    </a:graphicData>
                  </a:graphic>
                </wp:inline>
              </w:drawing>
            </w:r>
            <w:r w:rsidRPr="003B14E9">
              <w:rPr>
                <w:rFonts w:ascii="Times New Roman" w:hAnsi="Times New Roman"/>
                <w:color w:val="000000"/>
                <w:sz w:val="18"/>
                <w:szCs w:val="18"/>
              </w:rPr>
              <w:t xml:space="preserve">= majorarea aferentă categoriei alte riscuri pentru setul de acoperire a riscului j calculat în conformitate cu alineatul (2). </w:t>
            </w:r>
          </w:p>
          <w:p w14:paraId="195D8DA9"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(2) Instituţiile calculează majorarea aferentă categoriei alte riscuri pentru setul de acoperire a riscului j după cum urmează: </w:t>
            </w:r>
          </w:p>
          <w:p w14:paraId="35103ED3"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526D10D2" wp14:editId="3D2B1E4F">
                  <wp:extent cx="2360508" cy="241540"/>
                  <wp:effectExtent l="0" t="0" r="1905" b="6350"/>
                  <wp:docPr id="596757176" name="Picture 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19682" cy="247595"/>
                          </a:xfrm>
                          <a:prstGeom prst="rect">
                            <a:avLst/>
                          </a:prstGeom>
                          <a:noFill/>
                          <a:ln>
                            <a:noFill/>
                          </a:ln>
                        </pic:spPr>
                      </pic:pic>
                    </a:graphicData>
                  </a:graphic>
                </wp:inline>
              </w:drawing>
            </w:r>
          </w:p>
          <w:p w14:paraId="4B46E17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79458B7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3A368442" wp14:editId="587C9D5C">
                  <wp:extent cx="729040" cy="232913"/>
                  <wp:effectExtent l="0" t="0" r="0" b="0"/>
                  <wp:docPr id="1448408612" name="Picture 6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43093" cy="237403"/>
                          </a:xfrm>
                          <a:prstGeom prst="rect">
                            <a:avLst/>
                          </a:prstGeom>
                          <a:noFill/>
                          <a:ln>
                            <a:noFill/>
                          </a:ln>
                        </pic:spPr>
                      </pic:pic>
                    </a:graphicData>
                  </a:graphic>
                </wp:inline>
              </w:drawing>
            </w:r>
            <w:r w:rsidRPr="003B14E9">
              <w:rPr>
                <w:rFonts w:ascii="Times New Roman" w:hAnsi="Times New Roman"/>
                <w:color w:val="000000"/>
                <w:sz w:val="18"/>
                <w:szCs w:val="18"/>
              </w:rPr>
              <w:t xml:space="preserve">= majorarea aferentă categoriei alte riscuri pentru setul de acoperire a riscului j; </w:t>
            </w:r>
          </w:p>
          <w:p w14:paraId="7C05501D"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є</w:t>
            </w:r>
            <w:r w:rsidRPr="003B14E9">
              <w:rPr>
                <w:rFonts w:ascii="Times New Roman" w:hAnsi="Times New Roman"/>
                <w:color w:val="000000"/>
                <w:sz w:val="18"/>
                <w:szCs w:val="18"/>
                <w:vertAlign w:val="subscript"/>
              </w:rPr>
              <w:t>j</w:t>
            </w:r>
            <w:r w:rsidRPr="003B14E9">
              <w:rPr>
                <w:rFonts w:ascii="Times New Roman" w:hAnsi="Times New Roman"/>
                <w:color w:val="000000"/>
                <w:sz w:val="18"/>
                <w:szCs w:val="18"/>
              </w:rPr>
              <w:t xml:space="preserve"> = coeficientul factorului impus de autorităţile de suprave- ghere aferent setului de acoperire a riscului pentru setul de acoperire a riscului j determinat în conformitate cu articolul 280; și </w:t>
            </w:r>
            <w:r w:rsidRPr="003B14E9">
              <w:rPr>
                <w:rFonts w:ascii="Times New Roman" w:hAnsi="Times New Roman"/>
                <w:b/>
                <w:bCs/>
                <w:color w:val="000000"/>
                <w:sz w:val="18"/>
                <w:szCs w:val="18"/>
              </w:rPr>
              <w:t>▼M8</w:t>
            </w:r>
          </w:p>
          <w:p w14:paraId="72DF65BD"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SF</w:t>
            </w:r>
            <w:r w:rsidRPr="003B14E9">
              <w:rPr>
                <w:rFonts w:ascii="Times New Roman" w:hAnsi="Times New Roman"/>
                <w:color w:val="000000"/>
                <w:sz w:val="18"/>
                <w:szCs w:val="18"/>
                <w:vertAlign w:val="superscript"/>
              </w:rPr>
              <w:t>Altele</w:t>
            </w:r>
            <w:r w:rsidRPr="003B14E9">
              <w:rPr>
                <w:rFonts w:ascii="Times New Roman" w:hAnsi="Times New Roman"/>
                <w:color w:val="000000"/>
                <w:sz w:val="18"/>
                <w:szCs w:val="18"/>
              </w:rPr>
              <w:t xml:space="preserve"> = factorul impus de autorităţile de supraveghere pentru categoria alte riscuri cu o valoare egală cu 8 %; </w:t>
            </w:r>
          </w:p>
          <w:p w14:paraId="7F4EF194"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sz w:val="18"/>
                <w:szCs w:val="18"/>
              </w:rPr>
              <w:drawing>
                <wp:inline distT="0" distB="0" distL="0" distR="0" wp14:anchorId="3FADB3E7" wp14:editId="05DB8AD3">
                  <wp:extent cx="836762" cy="278775"/>
                  <wp:effectExtent l="0" t="0" r="1905" b="6985"/>
                  <wp:docPr id="36189790" name="Picture 7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43709" cy="281089"/>
                          </a:xfrm>
                          <a:prstGeom prst="rect">
                            <a:avLst/>
                          </a:prstGeom>
                          <a:noFill/>
                          <a:ln>
                            <a:noFill/>
                          </a:ln>
                        </pic:spPr>
                      </pic:pic>
                    </a:graphicData>
                  </a:graphic>
                </wp:inline>
              </w:drawing>
            </w:r>
            <w:r w:rsidRPr="003B14E9">
              <w:rPr>
                <w:rFonts w:ascii="Times New Roman" w:hAnsi="Times New Roman"/>
                <w:color w:val="000000"/>
                <w:sz w:val="18"/>
                <w:szCs w:val="18"/>
              </w:rPr>
              <w:t xml:space="preserve">= valoarea noţională efectivă a setului de acoperire a riscului j, calculată după cum urmează: </w:t>
            </w:r>
          </w:p>
          <w:p w14:paraId="1296A697"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52697553" wp14:editId="32C6E598">
                  <wp:extent cx="2541739" cy="310551"/>
                  <wp:effectExtent l="0" t="0" r="0" b="0"/>
                  <wp:docPr id="183766834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71946" cy="326460"/>
                          </a:xfrm>
                          <a:prstGeom prst="rect">
                            <a:avLst/>
                          </a:prstGeom>
                          <a:noFill/>
                        </pic:spPr>
                      </pic:pic>
                    </a:graphicData>
                  </a:graphic>
                </wp:inline>
              </w:drawing>
            </w:r>
          </w:p>
          <w:p w14:paraId="3881B10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6270CF3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l = indicele care desemnează poziţia de risc (RiskPosition). </w:t>
            </w:r>
          </w:p>
          <w:p w14:paraId="51F268F3" w14:textId="77777777" w:rsidR="00622402" w:rsidRPr="003B14E9" w:rsidRDefault="00622402" w:rsidP="00622402">
            <w:pPr>
              <w:pStyle w:val="CM4"/>
              <w:spacing w:before="60" w:after="60"/>
              <w:rPr>
                <w:rFonts w:ascii="Times New Roman" w:hAnsi="Times New Roman"/>
                <w:i/>
                <w:iCs/>
                <w:color w:val="000000"/>
                <w:sz w:val="20"/>
                <w:szCs w:val="20"/>
              </w:rPr>
            </w:pPr>
          </w:p>
        </w:tc>
        <w:tc>
          <w:tcPr>
            <w:tcW w:w="4425" w:type="dxa"/>
            <w:shd w:val="clear" w:color="auto" w:fill="auto"/>
          </w:tcPr>
          <w:p w14:paraId="1362B60A" w14:textId="77777777" w:rsidR="00622402" w:rsidRPr="003B14E9" w:rsidRDefault="00622402" w:rsidP="00622402">
            <w:pPr>
              <w:pStyle w:val="CM4"/>
              <w:spacing w:before="60" w:after="60"/>
              <w:jc w:val="center"/>
              <w:rPr>
                <w:rFonts w:ascii="Times New Roman" w:hAnsi="Times New Roman"/>
                <w:i/>
                <w:iCs/>
                <w:color w:val="000000"/>
                <w:sz w:val="18"/>
                <w:szCs w:val="18"/>
              </w:rPr>
            </w:pPr>
            <w:r w:rsidRPr="003B14E9">
              <w:rPr>
                <w:rFonts w:ascii="Times New Roman" w:hAnsi="Times New Roman"/>
                <w:i/>
                <w:iCs/>
                <w:color w:val="000000"/>
                <w:sz w:val="18"/>
                <w:szCs w:val="18"/>
              </w:rPr>
              <w:lastRenderedPageBreak/>
              <w:t>Secțiunea a 17-a</w:t>
            </w:r>
          </w:p>
          <w:p w14:paraId="4CEE4B7D" w14:textId="77777777" w:rsidR="00622402" w:rsidRPr="003B14E9" w:rsidRDefault="00622402" w:rsidP="00622402">
            <w:pPr>
              <w:pStyle w:val="Default"/>
              <w:jc w:val="center"/>
              <w:rPr>
                <w:rFonts w:ascii="Times New Roman" w:hAnsi="Times New Roman" w:cs="Times New Roman"/>
                <w:b/>
                <w:bCs/>
                <w:sz w:val="18"/>
                <w:szCs w:val="18"/>
              </w:rPr>
            </w:pPr>
            <w:r w:rsidRPr="003B14E9">
              <w:rPr>
                <w:rFonts w:ascii="Times New Roman" w:hAnsi="Times New Roman" w:cs="Times New Roman"/>
                <w:b/>
                <w:bCs/>
                <w:sz w:val="18"/>
                <w:szCs w:val="18"/>
              </w:rPr>
              <w:t>Majorarea aferentă categoriei alte riscuri</w:t>
            </w:r>
          </w:p>
          <w:p w14:paraId="6CD2DA8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82.</w:t>
            </w:r>
            <w:r w:rsidRPr="003B14E9">
              <w:rPr>
                <w:rFonts w:ascii="Times New Roman" w:hAnsi="Times New Roman" w:cs="Times New Roman"/>
                <w:sz w:val="18"/>
                <w:szCs w:val="18"/>
              </w:rPr>
              <w:t xml:space="preserve"> În sensul punctelor 51-53, băncile calculează majorarea aferentă categoriei alte riscuri pentru un anumit set de compensare după cum urmează: </w:t>
            </w:r>
          </w:p>
          <w:p w14:paraId="7016E20E"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F06F709" wp14:editId="093FF5AE">
                  <wp:extent cx="2424023" cy="483317"/>
                  <wp:effectExtent l="0" t="0" r="0" b="0"/>
                  <wp:docPr id="1331165453" name="Picture 1331165453" descr="A black symbol with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3686" name="Picture 66" descr="A black symbol with a white background  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61740" cy="490837"/>
                          </a:xfrm>
                          <a:prstGeom prst="rect">
                            <a:avLst/>
                          </a:prstGeom>
                          <a:noFill/>
                        </pic:spPr>
                      </pic:pic>
                    </a:graphicData>
                  </a:graphic>
                </wp:inline>
              </w:drawing>
            </w:r>
          </w:p>
          <w:p w14:paraId="38EB3217"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31ED71B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AddOn</w:t>
            </w:r>
            <w:r w:rsidRPr="003B14E9">
              <w:rPr>
                <w:rFonts w:ascii="Times New Roman" w:hAnsi="Times New Roman" w:cs="Times New Roman"/>
                <w:sz w:val="18"/>
                <w:szCs w:val="18"/>
                <w:vertAlign w:val="superscript"/>
              </w:rPr>
              <w:t>Altele</w:t>
            </w:r>
            <w:r w:rsidRPr="003B14E9">
              <w:rPr>
                <w:rFonts w:ascii="Times New Roman" w:hAnsi="Times New Roman" w:cs="Times New Roman"/>
                <w:sz w:val="18"/>
                <w:szCs w:val="18"/>
              </w:rPr>
              <w:t xml:space="preserve"> = majorarea aferentă categoriei alte riscuri; </w:t>
            </w:r>
          </w:p>
          <w:p w14:paraId="7D2FB598"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j = indicele care desemnează seturile de acoperire a altor riscuri stabilite în conformitate cu punctul 48 subpunctul 6) și punctul 49 pentru setul de compensare; și </w:t>
            </w:r>
          </w:p>
          <w:p w14:paraId="2A5672B2"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5C0CCC7" wp14:editId="007CF3D2">
                  <wp:extent cx="715992" cy="231486"/>
                  <wp:effectExtent l="0" t="0" r="8255" b="0"/>
                  <wp:docPr id="824957481" name="Picture 82495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30858" cy="236292"/>
                          </a:xfrm>
                          <a:prstGeom prst="rect">
                            <a:avLst/>
                          </a:prstGeom>
                          <a:noFill/>
                        </pic:spPr>
                      </pic:pic>
                    </a:graphicData>
                  </a:graphic>
                </wp:inline>
              </w:drawing>
            </w:r>
            <w:r w:rsidRPr="003B14E9">
              <w:rPr>
                <w:rFonts w:ascii="Times New Roman" w:hAnsi="Times New Roman" w:cs="Times New Roman"/>
                <w:sz w:val="18"/>
                <w:szCs w:val="18"/>
              </w:rPr>
              <w:t xml:space="preserve">= majorarea aferentă categoriei alte riscuri pentru setul de acoperire a riscului j calculat în conformitate cu punctul 83. </w:t>
            </w:r>
          </w:p>
          <w:p w14:paraId="517ACE7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83.</w:t>
            </w:r>
            <w:r w:rsidRPr="003B14E9">
              <w:rPr>
                <w:rFonts w:ascii="Times New Roman" w:hAnsi="Times New Roman" w:cs="Times New Roman"/>
                <w:sz w:val="18"/>
                <w:szCs w:val="18"/>
              </w:rPr>
              <w:t xml:space="preserve"> Băncile calculează majorarea aferentă categoriei alte riscuri pentru setul de acoperire a riscului j după cum urmează: </w:t>
            </w:r>
          </w:p>
          <w:p w14:paraId="6F50513F"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lastRenderedPageBreak/>
              <w:drawing>
                <wp:inline distT="0" distB="0" distL="0" distR="0" wp14:anchorId="54A266C6" wp14:editId="754DAF91">
                  <wp:extent cx="3243532" cy="331896"/>
                  <wp:effectExtent l="0" t="0" r="0" b="0"/>
                  <wp:docPr id="435165219" name="Picture 4351652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05111" cy="338197"/>
                          </a:xfrm>
                          <a:prstGeom prst="rect">
                            <a:avLst/>
                          </a:prstGeom>
                          <a:noFill/>
                          <a:ln>
                            <a:noFill/>
                          </a:ln>
                        </pic:spPr>
                      </pic:pic>
                    </a:graphicData>
                  </a:graphic>
                </wp:inline>
              </w:drawing>
            </w:r>
          </w:p>
          <w:p w14:paraId="7749D4CB"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66757A2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05539B9" wp14:editId="2094455A">
                  <wp:extent cx="729040" cy="232913"/>
                  <wp:effectExtent l="0" t="0" r="0" b="0"/>
                  <wp:docPr id="1847101461" name="Picture 18471014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43093" cy="237403"/>
                          </a:xfrm>
                          <a:prstGeom prst="rect">
                            <a:avLst/>
                          </a:prstGeom>
                          <a:noFill/>
                          <a:ln>
                            <a:noFill/>
                          </a:ln>
                        </pic:spPr>
                      </pic:pic>
                    </a:graphicData>
                  </a:graphic>
                </wp:inline>
              </w:drawing>
            </w:r>
            <w:r w:rsidRPr="003B14E9">
              <w:rPr>
                <w:rFonts w:ascii="Times New Roman" w:hAnsi="Times New Roman" w:cs="Times New Roman"/>
                <w:sz w:val="18"/>
                <w:szCs w:val="18"/>
              </w:rPr>
              <w:t xml:space="preserve">= majorarea aferentă categoriei alte riscuri pentru setul de acoperire a riscului j; </w:t>
            </w:r>
          </w:p>
          <w:p w14:paraId="43DB7D7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єj = coeficientul factorului impus de Banca Națională a Moldovei aferent setului de acoperire a riscului pentru setul de acoperire a riscului j determinat în conformitate cu punctul 62; și </w:t>
            </w:r>
          </w:p>
          <w:p w14:paraId="5667FAAB"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SF</w:t>
            </w:r>
            <w:r w:rsidRPr="003B14E9">
              <w:rPr>
                <w:rFonts w:ascii="Times New Roman" w:hAnsi="Times New Roman" w:cs="Times New Roman"/>
                <w:sz w:val="18"/>
                <w:szCs w:val="18"/>
                <w:vertAlign w:val="superscript"/>
              </w:rPr>
              <w:t>Altele</w:t>
            </w:r>
            <w:r w:rsidRPr="003B14E9">
              <w:rPr>
                <w:rFonts w:ascii="Times New Roman" w:hAnsi="Times New Roman" w:cs="Times New Roman"/>
                <w:sz w:val="18"/>
                <w:szCs w:val="18"/>
              </w:rPr>
              <w:t xml:space="preserve"> = factorul impus de Banca Națională a Moldovei pentru categoria alte riscuri cu o valoare egală cu 8 %; </w:t>
            </w:r>
          </w:p>
          <w:p w14:paraId="6E0848D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3354AAF" wp14:editId="5E7F163B">
                  <wp:extent cx="836762" cy="278775"/>
                  <wp:effectExtent l="0" t="0" r="1905" b="6985"/>
                  <wp:docPr id="745927406" name="Picture 74592740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43709" cy="281089"/>
                          </a:xfrm>
                          <a:prstGeom prst="rect">
                            <a:avLst/>
                          </a:prstGeom>
                          <a:noFill/>
                          <a:ln>
                            <a:noFill/>
                          </a:ln>
                        </pic:spPr>
                      </pic:pic>
                    </a:graphicData>
                  </a:graphic>
                </wp:inline>
              </w:drawing>
            </w:r>
            <w:r w:rsidRPr="003B14E9">
              <w:rPr>
                <w:rFonts w:ascii="Times New Roman" w:hAnsi="Times New Roman" w:cs="Times New Roman"/>
                <w:sz w:val="18"/>
                <w:szCs w:val="18"/>
              </w:rPr>
              <w:t xml:space="preserve">= valoarea noţională efectivă a setului de acoperire a riscului j, calculată după cum urmează: </w:t>
            </w:r>
          </w:p>
          <w:p w14:paraId="4EDE3378"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4C84BC9C" wp14:editId="1B448B16">
                  <wp:extent cx="2416711" cy="295275"/>
                  <wp:effectExtent l="0" t="0" r="3175" b="0"/>
                  <wp:docPr id="1432454687" name="Picture 143245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463704" cy="301017"/>
                          </a:xfrm>
                          <a:prstGeom prst="rect">
                            <a:avLst/>
                          </a:prstGeom>
                          <a:noFill/>
                        </pic:spPr>
                      </pic:pic>
                    </a:graphicData>
                  </a:graphic>
                </wp:inline>
              </w:drawing>
            </w:r>
          </w:p>
          <w:p w14:paraId="3D696F9D"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10EBBEE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l = indicele care desemnează poziţia de risc (RiskPosition). </w:t>
            </w:r>
          </w:p>
          <w:p w14:paraId="5BB1018D"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30955ECE" w14:textId="2F987960" w:rsidR="00622402" w:rsidRPr="003B14E9" w:rsidRDefault="00622402" w:rsidP="00622402">
            <w:pPr>
              <w:jc w:val="both"/>
              <w:rPr>
                <w:sz w:val="18"/>
                <w:szCs w:val="18"/>
                <w:lang w:val="ro-MD"/>
              </w:rPr>
            </w:pPr>
            <w:r w:rsidRPr="003B14E9">
              <w:rPr>
                <w:sz w:val="18"/>
                <w:szCs w:val="18"/>
                <w:lang w:val="ro-MD"/>
              </w:rPr>
              <w:lastRenderedPageBreak/>
              <w:t>Compatibil</w:t>
            </w:r>
          </w:p>
        </w:tc>
        <w:tc>
          <w:tcPr>
            <w:tcW w:w="3041" w:type="dxa"/>
          </w:tcPr>
          <w:p w14:paraId="6D62E3D8" w14:textId="77777777" w:rsidR="00622402" w:rsidRPr="003B14E9" w:rsidRDefault="00622402" w:rsidP="00622402">
            <w:pPr>
              <w:rPr>
                <w:sz w:val="18"/>
                <w:szCs w:val="18"/>
                <w:highlight w:val="red"/>
                <w:lang w:val="ro-MD"/>
              </w:rPr>
            </w:pPr>
          </w:p>
        </w:tc>
        <w:tc>
          <w:tcPr>
            <w:tcW w:w="1055" w:type="dxa"/>
            <w:tcBorders>
              <w:top w:val="single" w:sz="4" w:space="0" w:color="auto"/>
              <w:bottom w:val="single" w:sz="4" w:space="0" w:color="auto"/>
            </w:tcBorders>
          </w:tcPr>
          <w:p w14:paraId="05CBBB9A"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73E8A63C" w14:textId="77777777" w:rsidR="00622402" w:rsidRPr="003B14E9" w:rsidRDefault="00622402" w:rsidP="00622402">
            <w:pPr>
              <w:jc w:val="both"/>
              <w:rPr>
                <w:sz w:val="18"/>
                <w:szCs w:val="18"/>
                <w:lang w:val="ro-MD"/>
              </w:rPr>
            </w:pPr>
          </w:p>
        </w:tc>
      </w:tr>
      <w:tr w:rsidR="00622402" w:rsidRPr="003B14E9" w14:paraId="5F058A1C" w14:textId="77777777" w:rsidTr="00604EF1">
        <w:trPr>
          <w:trHeight w:val="918"/>
        </w:trPr>
        <w:tc>
          <w:tcPr>
            <w:tcW w:w="4473" w:type="dxa"/>
          </w:tcPr>
          <w:p w14:paraId="0F94B5A3" w14:textId="08EE84A0"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color w:val="000000"/>
                <w:sz w:val="18"/>
                <w:szCs w:val="18"/>
              </w:rPr>
              <w:t>Secţiunea 4</w:t>
            </w:r>
          </w:p>
          <w:p w14:paraId="0C5146D1" w14:textId="77777777" w:rsidR="00622402" w:rsidRPr="003B14E9" w:rsidRDefault="00622402" w:rsidP="00622402">
            <w:pPr>
              <w:pStyle w:val="CM4"/>
              <w:spacing w:before="60" w:after="60"/>
              <w:ind w:firstLine="567"/>
              <w:jc w:val="center"/>
              <w:rPr>
                <w:rFonts w:ascii="Times New Roman" w:hAnsi="Times New Roman"/>
                <w:color w:val="000000"/>
                <w:sz w:val="18"/>
                <w:szCs w:val="18"/>
              </w:rPr>
            </w:pPr>
            <w:r w:rsidRPr="003B14E9">
              <w:rPr>
                <w:rFonts w:ascii="Times New Roman" w:hAnsi="Times New Roman"/>
                <w:b/>
                <w:bCs/>
                <w:color w:val="000000"/>
                <w:sz w:val="18"/>
                <w:szCs w:val="18"/>
              </w:rPr>
              <w:t>Abordarea standardizată simplificată pentru riscul de credit al contrapărţii</w:t>
            </w:r>
          </w:p>
          <w:p w14:paraId="5CD33717" w14:textId="742C1AAF"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t>Articolul 281</w:t>
            </w:r>
            <w:r w:rsidR="00EC4384"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Calculul valorii expunerii</w:t>
            </w:r>
          </w:p>
          <w:p w14:paraId="2DF5516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Instituţiile calculează o singură valoare a expunerii la nivelul unui set de compensare în conformitate cu secţiunea 3, sub rezerva alineatului (2) din prezentul articol. </w:t>
            </w:r>
          </w:p>
          <w:p w14:paraId="3740094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(2) Valoarea expunerii unui set de compensare se calculează în conformitate cu următoarele cerinţe: </w:t>
            </w:r>
          </w:p>
          <w:p w14:paraId="2EAF9E4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 instituţiile nu aplică tratamentul menţionat la articolul 274 alineatul (6); </w:t>
            </w:r>
          </w:p>
          <w:p w14:paraId="22574B2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prin derogare de la articolul 275 alineatul (1), în cazul seturilor de compensare care nu sunt menţionate la articolul 275 alineatul (2), instituţiile calculează costul de înlocuire în conformitate cu următoarea formulă: </w:t>
            </w:r>
          </w:p>
          <w:p w14:paraId="09EAF6B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RC = max{CMV, 0} </w:t>
            </w:r>
          </w:p>
          <w:p w14:paraId="1607219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2A9FB12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RC = costul de înlocuire; și </w:t>
            </w:r>
          </w:p>
          <w:p w14:paraId="4B5B500D"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CMV = valoarea de piaţă curentă. </w:t>
            </w:r>
          </w:p>
          <w:p w14:paraId="091ACF6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(c) prin derogare de la articolul 275 alineatul (2) din prezentul regulament, în cazul seturilor de compensare formate din tranzacţii care sunt tranzacţionate pe o bursă recunoscută sau care sunt compensate la nivel central de către o contraparte centrală autorizată în conformitate cu articolul 14 din Regulamentul (UE) nr. 648/2012 ori recunoscută în conformitate cu articolul 25 din regulamentul respectiv sau pentru care au loc schimburi bilaterale de garanţii reale cu contrapartea în conformitate cu articolul 11 din Regulamentul (UE) nr. 648/2012, instituţiile calculează costul de înlocuire în conformitate cu următoarea formulă: </w:t>
            </w:r>
          </w:p>
          <w:p w14:paraId="649268BE"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color w:val="000000"/>
                <w:sz w:val="18"/>
                <w:szCs w:val="18"/>
              </w:rPr>
              <w:t>RC = TH + MTA</w:t>
            </w:r>
          </w:p>
          <w:p w14:paraId="5FC93D2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463CE6BA"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RC = costul de înlocuire; </w:t>
            </w:r>
          </w:p>
          <w:p w14:paraId="296C3F5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TH = pragul de marjă aplicabil setului de compensare conform contractului în marjă sub care instituţia nu poate solicita garanţii reale; și </w:t>
            </w:r>
          </w:p>
          <w:p w14:paraId="38C5E6C9" w14:textId="7179E70F"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MTA = suma minimă de transfer aplicabilă setului de compensare conform contractului în marjă; </w:t>
            </w:r>
          </w:p>
          <w:p w14:paraId="1B33772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(d) prin derogare de la articolul 275 alineatul (3), în cazul seturilor de compensare multiple care fac obiectul unui contract în marjă, instituţiile calculează costul de înlocuire ca fiind suma costurilor de înlocuire ale fiecărui set de compensare individual, calculate în conformitate cu alineatul (1) ca și cum acestea nu ar face obiectul cerinţelor de marjă; </w:t>
            </w:r>
          </w:p>
          <w:p w14:paraId="206DD2C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(e) toate seturile de acoperire a riscului se stabilesc în conformitate cu articolul 277a alineatul (1); </w:t>
            </w:r>
          </w:p>
          <w:p w14:paraId="303AFE9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(f) instituţiile stabilesc ca multiplicatorul din formula care este folosită pentru a calcula expunerea viitoare potenţială de la articolul 278 alineatul (1) să fie egal cu 1, după cum urmează: </w:t>
            </w:r>
          </w:p>
          <w:p w14:paraId="6244F350"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2A4098E" wp14:editId="5A0F4980">
                  <wp:extent cx="1138687" cy="311479"/>
                  <wp:effectExtent l="0" t="0" r="4445" b="0"/>
                  <wp:docPr id="166903012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82449" cy="323450"/>
                          </a:xfrm>
                          <a:prstGeom prst="rect">
                            <a:avLst/>
                          </a:prstGeom>
                          <a:noFill/>
                        </pic:spPr>
                      </pic:pic>
                    </a:graphicData>
                  </a:graphic>
                </wp:inline>
              </w:drawing>
            </w:r>
          </w:p>
          <w:p w14:paraId="0A3740D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04BE7C54"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PFE = expunere viitoare potenţială; și </w:t>
            </w:r>
          </w:p>
          <w:p w14:paraId="1AB4534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w:t>
            </w:r>
            <w:r w:rsidRPr="003B14E9">
              <w:rPr>
                <w:rFonts w:ascii="Times New Roman" w:hAnsi="Times New Roman"/>
                <w:color w:val="000000"/>
                <w:sz w:val="18"/>
                <w:szCs w:val="18"/>
                <w:vertAlign w:val="superscript"/>
              </w:rPr>
              <w:t>(a)</w:t>
            </w:r>
            <w:r w:rsidRPr="003B14E9">
              <w:rPr>
                <w:rFonts w:ascii="Times New Roman" w:hAnsi="Times New Roman"/>
                <w:color w:val="000000"/>
                <w:sz w:val="18"/>
                <w:szCs w:val="18"/>
              </w:rPr>
              <w:t xml:space="preserve"> = majorarea pentru categoria de risc „a”; </w:t>
            </w:r>
          </w:p>
          <w:p w14:paraId="12EC479B"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(g) prin derogare de la articolul 279a alineatul (1), în cazul tuturor tranzacţiilor instituţiile calculează delta reglementată după cum urmează: </w:t>
            </w:r>
          </w:p>
          <w:p w14:paraId="0D83B33E"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r w:rsidRPr="003B14E9">
              <w:rPr>
                <w:rFonts w:ascii="Times New Roman" w:hAnsi="Times New Roman"/>
                <w:color w:val="000000"/>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
              <w:gridCol w:w="325"/>
              <w:gridCol w:w="3525"/>
            </w:tblGrid>
            <w:tr w:rsidR="00622402" w:rsidRPr="003B14E9" w14:paraId="50104C02" w14:textId="77777777" w:rsidTr="00B11411">
              <w:trPr>
                <w:trHeight w:val="443"/>
              </w:trPr>
              <w:tc>
                <w:tcPr>
                  <w:tcW w:w="258" w:type="dxa"/>
                  <w:vMerge w:val="restart"/>
                </w:tcPr>
                <w:p w14:paraId="10801244"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p>
                <w:p w14:paraId="1C496BC9"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r w:rsidRPr="003B14E9">
                    <w:rPr>
                      <w:rFonts w:ascii="Times New Roman" w:hAnsi="Times New Roman"/>
                      <w:color w:val="000000"/>
                      <w:sz w:val="18"/>
                      <w:szCs w:val="18"/>
                    </w:rPr>
                    <w:t>δ =</w:t>
                  </w:r>
                </w:p>
              </w:tc>
              <w:tc>
                <w:tcPr>
                  <w:tcW w:w="325" w:type="dxa"/>
                  <w:vMerge w:val="restart"/>
                </w:tcPr>
                <w:p w14:paraId="47B8B085"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r w:rsidRPr="003B14E9">
                    <w:rPr>
                      <w:rFonts w:ascii="Times New Roman" w:hAnsi="Times New Roman"/>
                      <w:color w:val="000000"/>
                      <w:sz w:val="18"/>
                      <w:szCs w:val="18"/>
                    </w:rPr>
                    <w:t>{</w:t>
                  </w:r>
                </w:p>
              </w:tc>
              <w:tc>
                <w:tcPr>
                  <w:tcW w:w="3525" w:type="dxa"/>
                </w:tcPr>
                <w:p w14:paraId="1358C87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+ 1 dacă tranzacţia este o poziţie lungă pe determinantul de risc principal </w:t>
                  </w:r>
                </w:p>
              </w:tc>
            </w:tr>
            <w:tr w:rsidR="00622402" w:rsidRPr="003B14E9" w14:paraId="6800CBB6" w14:textId="77777777" w:rsidTr="00B11411">
              <w:trPr>
                <w:trHeight w:val="196"/>
              </w:trPr>
              <w:tc>
                <w:tcPr>
                  <w:tcW w:w="258" w:type="dxa"/>
                  <w:vMerge/>
                </w:tcPr>
                <w:p w14:paraId="1C40D872"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p>
              </w:tc>
              <w:tc>
                <w:tcPr>
                  <w:tcW w:w="325" w:type="dxa"/>
                  <w:vMerge/>
                </w:tcPr>
                <w:p w14:paraId="7EBC6095"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p>
              </w:tc>
              <w:tc>
                <w:tcPr>
                  <w:tcW w:w="3525" w:type="dxa"/>
                </w:tcPr>
                <w:p w14:paraId="1BD225C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 1 dacă tranzacţia este o poziţie scurtă pe determinantul de risc principal </w:t>
                  </w:r>
                </w:p>
              </w:tc>
            </w:tr>
          </w:tbl>
          <w:p w14:paraId="019405B3"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26AB4BD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δ = delta de supraveghere; </w:t>
            </w:r>
          </w:p>
          <w:p w14:paraId="148855B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(h) formula, menţionată la articolul 279b alineatul (1) litera (a), care este utilizată pentru a calcula factorul duratei reglementat este următoarea: </w:t>
            </w:r>
          </w:p>
          <w:p w14:paraId="4D4D02B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factorul duratei reglementat=E – S </w:t>
            </w:r>
          </w:p>
          <w:p w14:paraId="1E6E15A4"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unde: </w:t>
            </w:r>
          </w:p>
          <w:p w14:paraId="0040E6A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E = perioada dintre data de încetare a unei tranzacţii și data raportării; și </w:t>
            </w:r>
          </w:p>
          <w:p w14:paraId="54DC953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S = perioada dintre data de începere a unei tranzacţii și data raportării; </w:t>
            </w:r>
          </w:p>
          <w:p w14:paraId="2D5539F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factorul de scadenţă prevăzut la articolul 279c alineatul (1) se calculează după cum urmează: </w:t>
            </w:r>
          </w:p>
          <w:p w14:paraId="399CCE6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în cazul tranzacţiilor incluse în seturile de compensare menţionate la articolul 275 alineatul (1), MF = 1; </w:t>
            </w:r>
          </w:p>
          <w:p w14:paraId="4FA74F49"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 în cazul tranzacţiilor incluse în seturile de compensare menţionate la articolul 275 alineatele (2) și (3), MF = 0,42; </w:t>
            </w:r>
          </w:p>
          <w:p w14:paraId="609985C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(j) formula, menţionată la articolul 280a alineatul (3), care este utilizată pentru a calcula valoarea noţională efectivă a setului de acoperire a riscului „j” este următoarea: </w:t>
            </w:r>
          </w:p>
          <w:p w14:paraId="7CACF59B"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1783A731" wp14:editId="30B1C7A9">
                  <wp:extent cx="1907668" cy="232913"/>
                  <wp:effectExtent l="0" t="0" r="0" b="0"/>
                  <wp:docPr id="7690266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42577" cy="237175"/>
                          </a:xfrm>
                          <a:prstGeom prst="rect">
                            <a:avLst/>
                          </a:prstGeom>
                          <a:noFill/>
                        </pic:spPr>
                      </pic:pic>
                    </a:graphicData>
                  </a:graphic>
                </wp:inline>
              </w:drawing>
            </w:r>
          </w:p>
          <w:p w14:paraId="125739D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3753A52F" w14:textId="6CA20EA0"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2F457576" wp14:editId="16B80C42">
                  <wp:extent cx="616175" cy="258793"/>
                  <wp:effectExtent l="0" t="0" r="0" b="8255"/>
                  <wp:docPr id="14314123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766" cy="264081"/>
                          </a:xfrm>
                          <a:prstGeom prst="rect">
                            <a:avLst/>
                          </a:prstGeom>
                          <a:noFill/>
                        </pic:spPr>
                      </pic:pic>
                    </a:graphicData>
                  </a:graphic>
                </wp:inline>
              </w:drawing>
            </w:r>
            <w:r w:rsidRPr="003B14E9">
              <w:rPr>
                <w:rFonts w:ascii="Times New Roman" w:hAnsi="Times New Roman"/>
                <w:color w:val="000000"/>
                <w:sz w:val="18"/>
                <w:szCs w:val="18"/>
              </w:rPr>
              <w:t xml:space="preserve">= valoarea noţională efectivă a setului de acoperire a riscului „j”; și </w:t>
            </w:r>
          </w:p>
          <w:p w14:paraId="1EF4C402"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D</w:t>
            </w:r>
            <w:r w:rsidRPr="003B14E9">
              <w:rPr>
                <w:rFonts w:ascii="Times New Roman" w:hAnsi="Times New Roman"/>
                <w:color w:val="000000"/>
                <w:sz w:val="18"/>
                <w:szCs w:val="18"/>
                <w:vertAlign w:val="subscript"/>
              </w:rPr>
              <w:t>j,k</w:t>
            </w:r>
            <w:r w:rsidRPr="003B14E9">
              <w:rPr>
                <w:rFonts w:ascii="Times New Roman" w:hAnsi="Times New Roman"/>
                <w:color w:val="000000"/>
                <w:sz w:val="18"/>
                <w:szCs w:val="18"/>
              </w:rPr>
              <w:t xml:space="preserve"> = valoarea noţională efectivă a benzii „k” a setului de acoperire a riscului „j”; </w:t>
            </w:r>
          </w:p>
          <w:p w14:paraId="2F10429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(k) formula menţionată la articolul 280c alineatul (3) care este utilizată pentru a calcula majorarea aferentă categoriei de risc de credit pentru setul de acoperire a riscului „j” se citește după cum urmează: </w:t>
            </w:r>
          </w:p>
          <w:p w14:paraId="1DD767BC"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2DBAF208" wp14:editId="77E3DD44">
                  <wp:extent cx="2156604" cy="320860"/>
                  <wp:effectExtent l="0" t="0" r="0" b="3175"/>
                  <wp:docPr id="184608505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03842" cy="327888"/>
                          </a:xfrm>
                          <a:prstGeom prst="rect">
                            <a:avLst/>
                          </a:prstGeom>
                          <a:noFill/>
                        </pic:spPr>
                      </pic:pic>
                    </a:graphicData>
                  </a:graphic>
                </wp:inline>
              </w:drawing>
            </w:r>
          </w:p>
          <w:p w14:paraId="6BB358B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5A5F078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lastRenderedPageBreak/>
              <w:drawing>
                <wp:inline distT="0" distB="0" distL="0" distR="0" wp14:anchorId="7BAC7B07" wp14:editId="22F8A92A">
                  <wp:extent cx="750498" cy="237290"/>
                  <wp:effectExtent l="0" t="0" r="0" b="0"/>
                  <wp:docPr id="142218470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79998" cy="246617"/>
                          </a:xfrm>
                          <a:prstGeom prst="rect">
                            <a:avLst/>
                          </a:prstGeom>
                          <a:noFill/>
                        </pic:spPr>
                      </pic:pic>
                    </a:graphicData>
                  </a:graphic>
                </wp:inline>
              </w:drawing>
            </w:r>
            <w:r w:rsidRPr="003B14E9">
              <w:rPr>
                <w:rFonts w:ascii="Times New Roman" w:hAnsi="Times New Roman"/>
                <w:color w:val="000000"/>
                <w:sz w:val="18"/>
                <w:szCs w:val="18"/>
              </w:rPr>
              <w:t xml:space="preserve"> = majorarea aferentă categoriei de risc de credit pentru setul de acoperire a riscului „j”; și </w:t>
            </w:r>
          </w:p>
          <w:p w14:paraId="0AB1600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AddOn(Entitate</w:t>
            </w:r>
            <w:r w:rsidRPr="003B14E9">
              <w:rPr>
                <w:rFonts w:ascii="Times New Roman" w:hAnsi="Times New Roman"/>
                <w:color w:val="000000"/>
                <w:sz w:val="18"/>
                <w:szCs w:val="18"/>
                <w:vertAlign w:val="subscript"/>
              </w:rPr>
              <w:t>k</w:t>
            </w:r>
            <w:r w:rsidRPr="003B14E9">
              <w:rPr>
                <w:rFonts w:ascii="Times New Roman" w:hAnsi="Times New Roman"/>
                <w:color w:val="000000"/>
                <w:sz w:val="18"/>
                <w:szCs w:val="18"/>
              </w:rPr>
              <w:t xml:space="preserve">) = majorarea aferentă entităţii de referinţă privind creditul „k”; </w:t>
            </w:r>
          </w:p>
          <w:p w14:paraId="51BCA72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(l) formula menţionată la articolul 280d alineatul (3) care este utilizată pentru a calcula majorarea aferentă categoriei de risc privind titlurile de capital pentru setul de acoperire a riscului „j” se citește după cum urmează: </w:t>
            </w:r>
          </w:p>
          <w:p w14:paraId="4D667EFB"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87E8035" wp14:editId="680943D3">
                  <wp:extent cx="2820838" cy="354750"/>
                  <wp:effectExtent l="0" t="0" r="0" b="7620"/>
                  <wp:docPr id="128015195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0437" cy="358472"/>
                          </a:xfrm>
                          <a:prstGeom prst="rect">
                            <a:avLst/>
                          </a:prstGeom>
                          <a:noFill/>
                        </pic:spPr>
                      </pic:pic>
                    </a:graphicData>
                  </a:graphic>
                </wp:inline>
              </w:drawing>
            </w:r>
          </w:p>
          <w:p w14:paraId="702232E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6B07D24F"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467BD5EF" wp14:editId="17CB1B53">
                  <wp:extent cx="1130060" cy="226012"/>
                  <wp:effectExtent l="0" t="0" r="0" b="3175"/>
                  <wp:docPr id="145360919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53080" cy="230616"/>
                          </a:xfrm>
                          <a:prstGeom prst="rect">
                            <a:avLst/>
                          </a:prstGeom>
                          <a:noFill/>
                        </pic:spPr>
                      </pic:pic>
                    </a:graphicData>
                  </a:graphic>
                </wp:inline>
              </w:drawing>
            </w:r>
            <w:r w:rsidRPr="003B14E9">
              <w:rPr>
                <w:rFonts w:ascii="Times New Roman" w:hAnsi="Times New Roman"/>
                <w:color w:val="000000"/>
                <w:sz w:val="18"/>
                <w:szCs w:val="18"/>
              </w:rPr>
              <w:t xml:space="preserve">= majorarea aferentă categoriei de risc privind titlurile de capital pentru setul de acoperire a riscului „j”; și </w:t>
            </w:r>
          </w:p>
          <w:p w14:paraId="261C0D6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AddOn(Entitate</w:t>
            </w:r>
            <w:r w:rsidRPr="003B14E9">
              <w:rPr>
                <w:rFonts w:ascii="Times New Roman" w:hAnsi="Times New Roman"/>
                <w:color w:val="000000"/>
                <w:sz w:val="18"/>
                <w:szCs w:val="18"/>
                <w:vertAlign w:val="subscript"/>
              </w:rPr>
              <w:t>k</w:t>
            </w:r>
            <w:r w:rsidRPr="003B14E9">
              <w:rPr>
                <w:rFonts w:ascii="Times New Roman" w:hAnsi="Times New Roman"/>
                <w:color w:val="000000"/>
                <w:sz w:val="18"/>
                <w:szCs w:val="18"/>
              </w:rPr>
              <w:t xml:space="preserve">) = majorarea aferentă entităţii de referinţă privind creditul „k”; </w:t>
            </w:r>
          </w:p>
          <w:p w14:paraId="1D3BB14B"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(m) formula menţionată la articolul 280e alineatul (4) care este utilizată pentru a calcula majorarea aferentă categoriei de risc de marfă pentru setul de acoperire a riscului „j” se citește după cum urmează: </w:t>
            </w:r>
          </w:p>
          <w:p w14:paraId="160D418C" w14:textId="77777777"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65E40F66" wp14:editId="792FAA7F">
                  <wp:extent cx="2035834" cy="363149"/>
                  <wp:effectExtent l="0" t="0" r="2540" b="0"/>
                  <wp:docPr id="90083581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37574" cy="381297"/>
                          </a:xfrm>
                          <a:prstGeom prst="rect">
                            <a:avLst/>
                          </a:prstGeom>
                          <a:noFill/>
                        </pic:spPr>
                      </pic:pic>
                    </a:graphicData>
                  </a:graphic>
                </wp:inline>
              </w:drawing>
            </w:r>
          </w:p>
          <w:p w14:paraId="15984D49"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0ED9B08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4ACC04D" wp14:editId="625A0EAE">
                  <wp:extent cx="759124" cy="243599"/>
                  <wp:effectExtent l="0" t="0" r="3175" b="4445"/>
                  <wp:docPr id="47867690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82812" cy="251200"/>
                          </a:xfrm>
                          <a:prstGeom prst="rect">
                            <a:avLst/>
                          </a:prstGeom>
                          <a:noFill/>
                        </pic:spPr>
                      </pic:pic>
                    </a:graphicData>
                  </a:graphic>
                </wp:inline>
              </w:drawing>
            </w:r>
            <w:r w:rsidRPr="003B14E9">
              <w:rPr>
                <w:rFonts w:ascii="Times New Roman" w:hAnsi="Times New Roman"/>
                <w:color w:val="000000"/>
                <w:sz w:val="18"/>
                <w:szCs w:val="18"/>
              </w:rPr>
              <w:t xml:space="preserve"> = majorarea aferentă categoriei de risc de marfă pentru setul de acoperire a riscului „j”; și </w:t>
            </w:r>
          </w:p>
          <w:p w14:paraId="5056F28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noProof/>
                <w:color w:val="000000"/>
                <w:sz w:val="18"/>
                <w:szCs w:val="18"/>
              </w:rPr>
              <w:drawing>
                <wp:inline distT="0" distB="0" distL="0" distR="0" wp14:anchorId="33F218B5" wp14:editId="69AA9604">
                  <wp:extent cx="776377" cy="257175"/>
                  <wp:effectExtent l="0" t="0" r="5080" b="0"/>
                  <wp:docPr id="1905813618"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4377" cy="259825"/>
                          </a:xfrm>
                          <a:prstGeom prst="rect">
                            <a:avLst/>
                          </a:prstGeom>
                          <a:noFill/>
                        </pic:spPr>
                      </pic:pic>
                    </a:graphicData>
                  </a:graphic>
                </wp:inline>
              </w:drawing>
            </w:r>
            <w:r w:rsidRPr="003B14E9">
              <w:rPr>
                <w:rFonts w:ascii="Times New Roman" w:hAnsi="Times New Roman"/>
                <w:color w:val="000000"/>
                <w:sz w:val="18"/>
                <w:szCs w:val="18"/>
              </w:rPr>
              <w:t xml:space="preserve">= majorarea aferentă tipului de marfă de referinţă „k”. </w:t>
            </w:r>
          </w:p>
          <w:p w14:paraId="55FE5DC5" w14:textId="77777777" w:rsidR="00622402" w:rsidRPr="003B14E9" w:rsidRDefault="00622402" w:rsidP="00622402">
            <w:pPr>
              <w:rPr>
                <w:sz w:val="18"/>
                <w:szCs w:val="18"/>
                <w:lang w:val="en-US" w:eastAsia="en-US"/>
              </w:rPr>
            </w:pPr>
          </w:p>
        </w:tc>
        <w:tc>
          <w:tcPr>
            <w:tcW w:w="4425" w:type="dxa"/>
            <w:shd w:val="clear" w:color="auto" w:fill="auto"/>
          </w:tcPr>
          <w:p w14:paraId="504A157B" w14:textId="77777777" w:rsidR="00622402" w:rsidRPr="003B14E9" w:rsidRDefault="00622402" w:rsidP="00622402">
            <w:pPr>
              <w:pStyle w:val="ListParagraph"/>
              <w:tabs>
                <w:tab w:val="left" w:pos="470"/>
              </w:tabs>
              <w:ind w:left="44"/>
              <w:jc w:val="both"/>
              <w:rPr>
                <w:color w:val="000000"/>
                <w:sz w:val="18"/>
                <w:szCs w:val="18"/>
                <w:lang w:val="ro-MD"/>
              </w:rPr>
            </w:pPr>
          </w:p>
          <w:p w14:paraId="4526FD74" w14:textId="77777777" w:rsidR="00622402" w:rsidRPr="003B14E9" w:rsidRDefault="00622402" w:rsidP="00622402">
            <w:pPr>
              <w:ind w:firstLine="567"/>
              <w:jc w:val="center"/>
              <w:rPr>
                <w:b/>
                <w:bCs/>
                <w:sz w:val="18"/>
                <w:szCs w:val="18"/>
                <w:lang w:val="ro-MD"/>
              </w:rPr>
            </w:pPr>
            <w:r w:rsidRPr="003B14E9">
              <w:rPr>
                <w:b/>
                <w:bCs/>
                <w:sz w:val="18"/>
                <w:szCs w:val="18"/>
                <w:lang w:val="ro-MD"/>
              </w:rPr>
              <w:t>Capitolul IV</w:t>
            </w:r>
          </w:p>
          <w:p w14:paraId="03D628F4" w14:textId="77777777" w:rsidR="00622402" w:rsidRPr="003B14E9" w:rsidRDefault="00622402" w:rsidP="00622402">
            <w:pPr>
              <w:pStyle w:val="CM4"/>
              <w:spacing w:before="60" w:after="60"/>
              <w:ind w:firstLine="567"/>
              <w:jc w:val="center"/>
              <w:rPr>
                <w:rFonts w:ascii="Times New Roman" w:hAnsi="Times New Roman"/>
                <w:color w:val="000000"/>
                <w:sz w:val="18"/>
                <w:szCs w:val="18"/>
              </w:rPr>
            </w:pPr>
            <w:r w:rsidRPr="003B14E9">
              <w:rPr>
                <w:rFonts w:ascii="Times New Roman" w:hAnsi="Times New Roman"/>
                <w:b/>
                <w:bCs/>
                <w:color w:val="000000"/>
                <w:sz w:val="18"/>
                <w:szCs w:val="18"/>
              </w:rPr>
              <w:t>Abordarea standardizată simplificată pentru riscul de credit al contrapărţii</w:t>
            </w:r>
          </w:p>
          <w:p w14:paraId="49EDDC00" w14:textId="77777777" w:rsidR="00622402" w:rsidRPr="003B14E9" w:rsidRDefault="00622402" w:rsidP="00622402">
            <w:pPr>
              <w:pStyle w:val="CM4"/>
              <w:spacing w:before="60" w:after="60"/>
              <w:ind w:firstLine="567"/>
              <w:jc w:val="center"/>
              <w:rPr>
                <w:rFonts w:ascii="Times New Roman" w:hAnsi="Times New Roman"/>
                <w:i/>
                <w:iCs/>
                <w:color w:val="000000"/>
                <w:sz w:val="18"/>
                <w:szCs w:val="18"/>
              </w:rPr>
            </w:pPr>
            <w:r w:rsidRPr="003B14E9">
              <w:rPr>
                <w:rFonts w:ascii="Times New Roman" w:hAnsi="Times New Roman"/>
                <w:i/>
                <w:iCs/>
                <w:color w:val="000000"/>
                <w:sz w:val="18"/>
                <w:szCs w:val="18"/>
              </w:rPr>
              <w:t xml:space="preserve">Secțiunea 1 </w:t>
            </w:r>
          </w:p>
          <w:p w14:paraId="451DD127" w14:textId="77777777" w:rsidR="00622402" w:rsidRPr="003B14E9" w:rsidRDefault="00622402" w:rsidP="00622402">
            <w:pPr>
              <w:pStyle w:val="Default"/>
              <w:ind w:firstLine="567"/>
              <w:jc w:val="center"/>
              <w:rPr>
                <w:rFonts w:ascii="Times New Roman" w:hAnsi="Times New Roman" w:cs="Times New Roman"/>
                <w:b/>
                <w:bCs/>
                <w:sz w:val="18"/>
                <w:szCs w:val="18"/>
              </w:rPr>
            </w:pPr>
            <w:r w:rsidRPr="003B14E9">
              <w:rPr>
                <w:rFonts w:ascii="Times New Roman" w:hAnsi="Times New Roman" w:cs="Times New Roman"/>
                <w:b/>
                <w:bCs/>
                <w:sz w:val="18"/>
                <w:szCs w:val="18"/>
              </w:rPr>
              <w:t>Calculul valorii expunerii</w:t>
            </w:r>
          </w:p>
          <w:p w14:paraId="23EDA74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84.</w:t>
            </w:r>
            <w:r w:rsidRPr="003B14E9">
              <w:rPr>
                <w:rFonts w:ascii="Times New Roman" w:hAnsi="Times New Roman" w:cs="Times New Roman"/>
                <w:sz w:val="18"/>
                <w:szCs w:val="18"/>
              </w:rPr>
              <w:t xml:space="preserve"> Băncile calculează o singură valoare a expunerii la nivelul unui set de compensare în conformitate cu capitolul III, sub rezerva punctului 85. </w:t>
            </w:r>
          </w:p>
          <w:p w14:paraId="6F36132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lastRenderedPageBreak/>
              <w:t>85.</w:t>
            </w:r>
            <w:r w:rsidRPr="003B14E9">
              <w:rPr>
                <w:rFonts w:ascii="Times New Roman" w:hAnsi="Times New Roman" w:cs="Times New Roman"/>
                <w:sz w:val="18"/>
                <w:szCs w:val="18"/>
              </w:rPr>
              <w:t xml:space="preserve"> Valoarea expunerii unui set de compensare se calculează în conformitate cu următoarele cerinţe: </w:t>
            </w:r>
          </w:p>
          <w:p w14:paraId="088A5F6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1) băncile nu aplică tratamentul menţionat la punctul 36; </w:t>
            </w:r>
          </w:p>
          <w:p w14:paraId="3F7B5D0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2) prin derogare de la punctul 38, în cazul seturilor de compensare care nu sunt menţionate la punctul 39, băncile calculează costul de înlocuire în conformitate cu următoarea formulă: </w:t>
            </w:r>
          </w:p>
          <w:p w14:paraId="7AAC57CA"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sz w:val="18"/>
                <w:szCs w:val="18"/>
              </w:rPr>
              <w:t>RC = max{CMV, 0}</w:t>
            </w:r>
          </w:p>
          <w:p w14:paraId="40B0CB7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597A10B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RC = costul de înlocuire; și </w:t>
            </w:r>
          </w:p>
          <w:p w14:paraId="3ADFDB5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CMV = valoarea de piaţă curentă. </w:t>
            </w:r>
          </w:p>
          <w:p w14:paraId="38EEDF3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3) prin derogare de la punctul 40, în cazul seturilor de compensare multiple care fac obiectul unui contract în marjă, băncile calculează costul de înlocuire ca fiind suma costurilor de înlocuire ale fiecărui set de compensare individual, calculate în conformitate cu punctului 84 ca și cum acestea nu ar face obiectul cerinţelor de marjă; </w:t>
            </w:r>
          </w:p>
          <w:p w14:paraId="3EF7154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4) toate seturile de acoperire a riscului se stabilesc în conformitate cu punctul 48; </w:t>
            </w:r>
          </w:p>
          <w:p w14:paraId="27F92BA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5) băncile stabilesc ca multiplicatorul din formula care este folosită pentru a calcula expunerea viitoare potenţială de la punctul 51 să fie egal cu 1, după cum urmează: </w:t>
            </w:r>
          </w:p>
          <w:p w14:paraId="1D0B6E3F"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CEBC137" wp14:editId="3B60266F">
                  <wp:extent cx="1431985" cy="391709"/>
                  <wp:effectExtent l="0" t="0" r="0" b="8890"/>
                  <wp:docPr id="1653061689" name="Picture 1653061689" descr="A black and white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30128" name="Picture 72" descr="A black and white symbol  Description automatically generate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68671" cy="401744"/>
                          </a:xfrm>
                          <a:prstGeom prst="rect">
                            <a:avLst/>
                          </a:prstGeom>
                          <a:noFill/>
                        </pic:spPr>
                      </pic:pic>
                    </a:graphicData>
                  </a:graphic>
                </wp:inline>
              </w:drawing>
            </w:r>
          </w:p>
          <w:p w14:paraId="5A91278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0DA71CB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PFE = expunere viitoare potenţială; și </w:t>
            </w:r>
          </w:p>
          <w:p w14:paraId="5F04B5A6"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AddOn</w:t>
            </w:r>
            <w:r w:rsidRPr="003B14E9">
              <w:rPr>
                <w:rFonts w:ascii="Times New Roman" w:hAnsi="Times New Roman" w:cs="Times New Roman"/>
                <w:sz w:val="18"/>
                <w:szCs w:val="18"/>
                <w:vertAlign w:val="superscript"/>
              </w:rPr>
              <w:t>(a)</w:t>
            </w:r>
            <w:r w:rsidRPr="003B14E9">
              <w:rPr>
                <w:rFonts w:ascii="Times New Roman" w:hAnsi="Times New Roman" w:cs="Times New Roman"/>
                <w:sz w:val="18"/>
                <w:szCs w:val="18"/>
              </w:rPr>
              <w:t xml:space="preserve"> = majorarea pentru categoria de risc „a”; </w:t>
            </w:r>
          </w:p>
          <w:p w14:paraId="52B98B1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6) prin derogare de la punctul 55, în cazul tuturor tranzacţiilor băncile calculează delta reglementată după cum urmează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
              <w:gridCol w:w="325"/>
              <w:gridCol w:w="3525"/>
            </w:tblGrid>
            <w:tr w:rsidR="00622402" w:rsidRPr="003B14E9" w14:paraId="7EBDCD54" w14:textId="77777777" w:rsidTr="00B11411">
              <w:trPr>
                <w:trHeight w:val="443"/>
              </w:trPr>
              <w:tc>
                <w:tcPr>
                  <w:tcW w:w="258" w:type="dxa"/>
                  <w:vMerge w:val="restart"/>
                </w:tcPr>
                <w:p w14:paraId="331A5091"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p>
                <w:p w14:paraId="1391A8A4"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δ =</w:t>
                  </w:r>
                </w:p>
              </w:tc>
              <w:tc>
                <w:tcPr>
                  <w:tcW w:w="325" w:type="dxa"/>
                  <w:vMerge w:val="restart"/>
                </w:tcPr>
                <w:p w14:paraId="55FF4683"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w:t>
                  </w:r>
                </w:p>
              </w:tc>
              <w:tc>
                <w:tcPr>
                  <w:tcW w:w="3525" w:type="dxa"/>
                </w:tcPr>
                <w:p w14:paraId="3D40EC8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+ 1 dacă tranzacţia este o poziţie lungă pe determinantul de risc principal </w:t>
                  </w:r>
                </w:p>
              </w:tc>
            </w:tr>
            <w:tr w:rsidR="00622402" w:rsidRPr="003B14E9" w14:paraId="499262C9" w14:textId="77777777" w:rsidTr="00B11411">
              <w:trPr>
                <w:trHeight w:val="196"/>
              </w:trPr>
              <w:tc>
                <w:tcPr>
                  <w:tcW w:w="258" w:type="dxa"/>
                  <w:vMerge/>
                </w:tcPr>
                <w:p w14:paraId="527AFFC2"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p>
              </w:tc>
              <w:tc>
                <w:tcPr>
                  <w:tcW w:w="325" w:type="dxa"/>
                  <w:vMerge/>
                </w:tcPr>
                <w:p w14:paraId="53B29336" w14:textId="77777777" w:rsidR="00622402" w:rsidRPr="003B14E9" w:rsidRDefault="00622402" w:rsidP="00622402">
                  <w:pPr>
                    <w:pStyle w:val="CM4"/>
                    <w:tabs>
                      <w:tab w:val="left" w:pos="3125"/>
                    </w:tabs>
                    <w:spacing w:before="60" w:after="60"/>
                    <w:rPr>
                      <w:rFonts w:ascii="Times New Roman" w:hAnsi="Times New Roman"/>
                      <w:color w:val="000000"/>
                      <w:sz w:val="18"/>
                      <w:szCs w:val="18"/>
                    </w:rPr>
                  </w:pPr>
                </w:p>
              </w:tc>
              <w:tc>
                <w:tcPr>
                  <w:tcW w:w="3525" w:type="dxa"/>
                </w:tcPr>
                <w:p w14:paraId="04C6616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 1 dacă tranzacţia este o poziţie scurtă pe determinantul de risc principal </w:t>
                  </w:r>
                </w:p>
              </w:tc>
            </w:tr>
          </w:tbl>
          <w:p w14:paraId="0FE49ABB" w14:textId="77777777" w:rsidR="00622402" w:rsidRPr="003B14E9" w:rsidRDefault="00622402" w:rsidP="00622402">
            <w:pPr>
              <w:pStyle w:val="Default"/>
              <w:jc w:val="both"/>
              <w:rPr>
                <w:rFonts w:ascii="Times New Roman" w:hAnsi="Times New Roman" w:cs="Times New Roman"/>
                <w:sz w:val="18"/>
                <w:szCs w:val="18"/>
              </w:rPr>
            </w:pPr>
          </w:p>
          <w:p w14:paraId="5010A60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29BDB621"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δ = delta de supraveghere; </w:t>
            </w:r>
          </w:p>
          <w:p w14:paraId="6E00DF2F"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7) formula, menţionată la punctul 57 subpunctul 1), care este utilizată pentru a calcula factorul duratei reglementat este următoarea: </w:t>
            </w:r>
          </w:p>
          <w:p w14:paraId="327F0E0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factorul duratei reglementat=E – S </w:t>
            </w:r>
          </w:p>
          <w:p w14:paraId="4F4AEBD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0846EFF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E = perioada dintre data de încetare a unei tranzacţii și data raportării; și </w:t>
            </w:r>
          </w:p>
          <w:p w14:paraId="24700A61"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S = perioada dintre data de începere a unei tranzacţii și data raportării; </w:t>
            </w:r>
          </w:p>
          <w:p w14:paraId="794B018D"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8) factorul de scadenţă prevăzut la punctul 60 se calculează după cum urmează: </w:t>
            </w:r>
          </w:p>
          <w:p w14:paraId="4D87880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în cazul tranzacţiilor incluse în seturile de compensare menţionate la punctul 38, MF = 1; </w:t>
            </w:r>
          </w:p>
          <w:p w14:paraId="6379DCC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în cazul tranzacţiilor incluse în seturile de compensare menţionate la punctele 39 și 40, MF = 0,42; </w:t>
            </w:r>
          </w:p>
          <w:p w14:paraId="55181B5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9) formula, menţionată la punctul 65, care este utilizată pentru a calcula valoarea noţională efectivă a setului de acoperire a riscului „j” este următoarea: </w:t>
            </w:r>
          </w:p>
          <w:p w14:paraId="18DD5F94"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72AF46CA" wp14:editId="493BA4C0">
                  <wp:extent cx="2574471" cy="314325"/>
                  <wp:effectExtent l="0" t="0" r="0" b="0"/>
                  <wp:docPr id="1286949471" name="Picture 128694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593341" cy="316629"/>
                          </a:xfrm>
                          <a:prstGeom prst="rect">
                            <a:avLst/>
                          </a:prstGeom>
                          <a:noFill/>
                        </pic:spPr>
                      </pic:pic>
                    </a:graphicData>
                  </a:graphic>
                </wp:inline>
              </w:drawing>
            </w:r>
          </w:p>
          <w:p w14:paraId="7FA8601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797C574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102C2CD9" wp14:editId="09C1452C">
                  <wp:extent cx="616175" cy="258793"/>
                  <wp:effectExtent l="0" t="0" r="0" b="8255"/>
                  <wp:docPr id="87699496" name="Picture 8769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766" cy="264081"/>
                          </a:xfrm>
                          <a:prstGeom prst="rect">
                            <a:avLst/>
                          </a:prstGeom>
                          <a:noFill/>
                        </pic:spPr>
                      </pic:pic>
                    </a:graphicData>
                  </a:graphic>
                </wp:inline>
              </w:drawing>
            </w:r>
            <w:r w:rsidRPr="003B14E9">
              <w:rPr>
                <w:rFonts w:ascii="Times New Roman" w:hAnsi="Times New Roman" w:cs="Times New Roman"/>
                <w:sz w:val="18"/>
                <w:szCs w:val="18"/>
              </w:rPr>
              <w:t>= valoarea noţională efectivă a setului de acoperire a riscului „j”; și ▼M8</w:t>
            </w:r>
          </w:p>
          <w:p w14:paraId="322E47A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Dj,k = valoarea noţională efectivă a benzii „k” a setului de acoperire a riscului „j”; </w:t>
            </w:r>
          </w:p>
          <w:p w14:paraId="347F459B"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10) formula menţionată la punctul 70 care este utilizată pentru a calcula majorarea aferentă categoriei de risc de credit pentru setul de acoperire a riscului „j” se citește după cum urmează: </w:t>
            </w:r>
          </w:p>
          <w:p w14:paraId="119E1BC9"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lastRenderedPageBreak/>
              <w:drawing>
                <wp:inline distT="0" distB="0" distL="0" distR="0" wp14:anchorId="56874F46" wp14:editId="1FF9034D">
                  <wp:extent cx="2381250" cy="354283"/>
                  <wp:effectExtent l="0" t="0" r="0" b="8255"/>
                  <wp:docPr id="531922284" name="Picture 531922284"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85057" name="Picture 75" descr="A black and white text  Description automatically generated"/>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14461" cy="359224"/>
                          </a:xfrm>
                          <a:prstGeom prst="rect">
                            <a:avLst/>
                          </a:prstGeom>
                          <a:noFill/>
                        </pic:spPr>
                      </pic:pic>
                    </a:graphicData>
                  </a:graphic>
                </wp:inline>
              </w:drawing>
            </w:r>
          </w:p>
          <w:p w14:paraId="799CA4A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09651161"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2F0076C4" wp14:editId="3FD91638">
                  <wp:extent cx="1130060" cy="226012"/>
                  <wp:effectExtent l="0" t="0" r="0" b="3175"/>
                  <wp:docPr id="941047147" name="Picture 94104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53080" cy="230616"/>
                          </a:xfrm>
                          <a:prstGeom prst="rect">
                            <a:avLst/>
                          </a:prstGeom>
                          <a:noFill/>
                        </pic:spPr>
                      </pic:pic>
                    </a:graphicData>
                  </a:graphic>
                </wp:inline>
              </w:drawing>
            </w:r>
            <w:r w:rsidRPr="003B14E9">
              <w:rPr>
                <w:rFonts w:ascii="Times New Roman" w:hAnsi="Times New Roman" w:cs="Times New Roman"/>
                <w:sz w:val="18"/>
                <w:szCs w:val="18"/>
              </w:rPr>
              <w:t xml:space="preserve"> = majorarea aferentă categoriei de risc de credit pentru setul de acoperire a riscului „j”; și </w:t>
            </w:r>
          </w:p>
          <w:p w14:paraId="05587C0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AddOn(Entitate</w:t>
            </w:r>
            <w:r w:rsidRPr="003B14E9">
              <w:rPr>
                <w:rFonts w:ascii="Times New Roman" w:hAnsi="Times New Roman" w:cs="Times New Roman"/>
                <w:sz w:val="18"/>
                <w:szCs w:val="18"/>
                <w:vertAlign w:val="subscript"/>
              </w:rPr>
              <w:t>k</w:t>
            </w:r>
            <w:r w:rsidRPr="003B14E9">
              <w:rPr>
                <w:rFonts w:ascii="Times New Roman" w:hAnsi="Times New Roman" w:cs="Times New Roman"/>
                <w:sz w:val="18"/>
                <w:szCs w:val="18"/>
              </w:rPr>
              <w:t xml:space="preserve">) = majorarea aferentă entităţii de referinţă privind creditul „k”; </w:t>
            </w:r>
          </w:p>
          <w:p w14:paraId="2E99C399"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11) formula menţionată la punctul 75 care este utilizată pentru a calcula majorarea aferentă categoriei de risc privind titlurile de capital pentru setul de acoperire a riscului „j” se citește după cum urmează: </w:t>
            </w:r>
          </w:p>
          <w:p w14:paraId="5BF195E1"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6363418" wp14:editId="687936B6">
                  <wp:extent cx="2575135" cy="323850"/>
                  <wp:effectExtent l="0" t="0" r="0" b="0"/>
                  <wp:docPr id="1532283281" name="Picture 1532283281" descr="A black and white math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51953" name="Picture 77" descr="A black and white math symbol  Description automatically generated"/>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6287" cy="327768"/>
                          </a:xfrm>
                          <a:prstGeom prst="rect">
                            <a:avLst/>
                          </a:prstGeom>
                          <a:noFill/>
                        </pic:spPr>
                      </pic:pic>
                    </a:graphicData>
                  </a:graphic>
                </wp:inline>
              </w:drawing>
            </w:r>
          </w:p>
          <w:p w14:paraId="5E0FB5A6"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1BB8842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0D34D497" wp14:editId="3ECC4A9F">
                  <wp:extent cx="1130060" cy="226012"/>
                  <wp:effectExtent l="0" t="0" r="0" b="3175"/>
                  <wp:docPr id="1917274136" name="Picture 191727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53080" cy="230616"/>
                          </a:xfrm>
                          <a:prstGeom prst="rect">
                            <a:avLst/>
                          </a:prstGeom>
                          <a:noFill/>
                        </pic:spPr>
                      </pic:pic>
                    </a:graphicData>
                  </a:graphic>
                </wp:inline>
              </w:drawing>
            </w:r>
            <w:r w:rsidRPr="003B14E9">
              <w:rPr>
                <w:rFonts w:ascii="Times New Roman" w:hAnsi="Times New Roman" w:cs="Times New Roman"/>
                <w:sz w:val="18"/>
                <w:szCs w:val="18"/>
              </w:rPr>
              <w:t xml:space="preserve">= majorarea aferentă categoriei de risc privind titlurile de capital pentru setul de acoperire a riscului „j”; și </w:t>
            </w:r>
          </w:p>
          <w:p w14:paraId="10B1FC99"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AddOn(Entitate</w:t>
            </w:r>
            <w:r w:rsidRPr="003B14E9">
              <w:rPr>
                <w:rFonts w:ascii="Times New Roman" w:hAnsi="Times New Roman" w:cs="Times New Roman"/>
                <w:sz w:val="18"/>
                <w:szCs w:val="18"/>
                <w:vertAlign w:val="subscript"/>
              </w:rPr>
              <w:t>k</w:t>
            </w:r>
            <w:r w:rsidRPr="003B14E9">
              <w:rPr>
                <w:rFonts w:ascii="Times New Roman" w:hAnsi="Times New Roman" w:cs="Times New Roman"/>
                <w:sz w:val="18"/>
                <w:szCs w:val="18"/>
              </w:rPr>
              <w:t xml:space="preserve">) = majorarea aferentă entităţii de referinţă privind creditul „k”; </w:t>
            </w:r>
          </w:p>
          <w:p w14:paraId="173430CF"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12) formula menţionată la punctul 80 care este utilizată pentru a calcula majorarea aferentă categoriei de risc de marfă pentru setul de acoperire a riscului „j” se citește după cum urmează: </w:t>
            </w:r>
          </w:p>
          <w:p w14:paraId="484123A8"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noProof/>
                <w:sz w:val="18"/>
                <w:szCs w:val="18"/>
              </w:rPr>
              <w:drawing>
                <wp:inline distT="0" distB="0" distL="0" distR="0" wp14:anchorId="3E577E38" wp14:editId="3D91F69F">
                  <wp:extent cx="2035834" cy="363149"/>
                  <wp:effectExtent l="0" t="0" r="2540" b="0"/>
                  <wp:docPr id="1772814671" name="Picture 1772814671" descr="A black and white symbol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35816" name="Picture 79" descr="A black and white symbol  Description automatically generated with medium confidence"/>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37574" cy="381297"/>
                          </a:xfrm>
                          <a:prstGeom prst="rect">
                            <a:avLst/>
                          </a:prstGeom>
                          <a:noFill/>
                        </pic:spPr>
                      </pic:pic>
                    </a:graphicData>
                  </a:graphic>
                </wp:inline>
              </w:drawing>
            </w:r>
          </w:p>
          <w:p w14:paraId="0601AF3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09AA7F09"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r w:rsidRPr="003B14E9">
              <w:rPr>
                <w:rFonts w:ascii="Times New Roman" w:hAnsi="Times New Roman" w:cs="Times New Roman"/>
                <w:noProof/>
                <w:sz w:val="18"/>
                <w:szCs w:val="18"/>
              </w:rPr>
              <w:drawing>
                <wp:inline distT="0" distB="0" distL="0" distR="0" wp14:anchorId="23AF0828" wp14:editId="0CD8AA92">
                  <wp:extent cx="759124" cy="243599"/>
                  <wp:effectExtent l="0" t="0" r="3175" b="4445"/>
                  <wp:docPr id="528399087" name="Picture 52839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82812" cy="251200"/>
                          </a:xfrm>
                          <a:prstGeom prst="rect">
                            <a:avLst/>
                          </a:prstGeom>
                          <a:noFill/>
                        </pic:spPr>
                      </pic:pic>
                    </a:graphicData>
                  </a:graphic>
                </wp:inline>
              </w:drawing>
            </w:r>
            <w:r w:rsidRPr="003B14E9">
              <w:rPr>
                <w:rFonts w:ascii="Times New Roman" w:hAnsi="Times New Roman" w:cs="Times New Roman"/>
                <w:sz w:val="18"/>
                <w:szCs w:val="18"/>
              </w:rPr>
              <w:t xml:space="preserve">= majorarea aferentă categoriei de risc de marfă pentru setul de acoperire a riscului „j”; și </w:t>
            </w:r>
          </w:p>
          <w:p w14:paraId="6CD8316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lastRenderedPageBreak/>
              <w:t xml:space="preserve"> </w:t>
            </w:r>
            <w:r w:rsidRPr="003B14E9">
              <w:rPr>
                <w:rFonts w:ascii="Times New Roman" w:hAnsi="Times New Roman" w:cs="Times New Roman"/>
                <w:noProof/>
                <w:sz w:val="18"/>
                <w:szCs w:val="18"/>
              </w:rPr>
              <w:drawing>
                <wp:inline distT="0" distB="0" distL="0" distR="0" wp14:anchorId="6F1453D1" wp14:editId="79E05C47">
                  <wp:extent cx="776377" cy="257175"/>
                  <wp:effectExtent l="0" t="0" r="5080" b="0"/>
                  <wp:docPr id="622859233" name="Picture 622859233"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13618" name="Picture 81" descr="A close up of a text  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84377" cy="259825"/>
                          </a:xfrm>
                          <a:prstGeom prst="rect">
                            <a:avLst/>
                          </a:prstGeom>
                          <a:noFill/>
                        </pic:spPr>
                      </pic:pic>
                    </a:graphicData>
                  </a:graphic>
                </wp:inline>
              </w:drawing>
            </w:r>
            <w:r w:rsidRPr="003B14E9">
              <w:rPr>
                <w:rFonts w:ascii="Times New Roman" w:hAnsi="Times New Roman" w:cs="Times New Roman"/>
                <w:sz w:val="18"/>
                <w:szCs w:val="18"/>
              </w:rPr>
              <w:t xml:space="preserve"> = majorarea aferentă tipului de marfă de referinţă „k”. </w:t>
            </w:r>
          </w:p>
          <w:p w14:paraId="1A6027A9"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75DE30BE" w14:textId="2F410A9A" w:rsidR="00622402" w:rsidRPr="003B14E9" w:rsidRDefault="00622402" w:rsidP="00622402">
            <w:pPr>
              <w:jc w:val="both"/>
              <w:rPr>
                <w:sz w:val="18"/>
                <w:szCs w:val="18"/>
                <w:lang w:val="ro-MD"/>
              </w:rPr>
            </w:pPr>
            <w:r w:rsidRPr="003B14E9">
              <w:rPr>
                <w:sz w:val="18"/>
                <w:szCs w:val="18"/>
                <w:lang w:val="ro-MD"/>
              </w:rPr>
              <w:lastRenderedPageBreak/>
              <w:t>Parțial compatibil</w:t>
            </w:r>
          </w:p>
        </w:tc>
        <w:tc>
          <w:tcPr>
            <w:tcW w:w="3041" w:type="dxa"/>
          </w:tcPr>
          <w:p w14:paraId="6800EB9F" w14:textId="6D4084B1" w:rsidR="00622402" w:rsidRPr="003B14E9" w:rsidRDefault="00622402" w:rsidP="00622402">
            <w:pPr>
              <w:rPr>
                <w:sz w:val="18"/>
                <w:szCs w:val="18"/>
                <w:highlight w:val="red"/>
                <w:lang w:val="ro-MD"/>
              </w:rPr>
            </w:pPr>
            <w:r w:rsidRPr="003B14E9">
              <w:rPr>
                <w:sz w:val="18"/>
                <w:szCs w:val="18"/>
                <w:lang w:val="ro-RO"/>
              </w:rPr>
              <w:t>Va fi transpus la o etapă ulterioară – în funcție de necesitatea prevederilor respective.</w:t>
            </w:r>
          </w:p>
        </w:tc>
        <w:tc>
          <w:tcPr>
            <w:tcW w:w="1055" w:type="dxa"/>
            <w:tcBorders>
              <w:top w:val="single" w:sz="4" w:space="0" w:color="auto"/>
              <w:bottom w:val="single" w:sz="4" w:space="0" w:color="auto"/>
            </w:tcBorders>
          </w:tcPr>
          <w:p w14:paraId="065C23AF"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17D199CA" w14:textId="77777777" w:rsidR="00622402" w:rsidRPr="003B14E9" w:rsidRDefault="00622402" w:rsidP="00622402">
            <w:pPr>
              <w:jc w:val="both"/>
              <w:rPr>
                <w:sz w:val="18"/>
                <w:szCs w:val="18"/>
                <w:lang w:val="ro-MD"/>
              </w:rPr>
            </w:pPr>
          </w:p>
        </w:tc>
      </w:tr>
      <w:tr w:rsidR="00622402" w:rsidRPr="003B14E9" w14:paraId="104E94DD" w14:textId="77777777" w:rsidTr="00604EF1">
        <w:trPr>
          <w:trHeight w:val="918"/>
        </w:trPr>
        <w:tc>
          <w:tcPr>
            <w:tcW w:w="4473" w:type="dxa"/>
          </w:tcPr>
          <w:p w14:paraId="36E442C9" w14:textId="2FDFBAFF" w:rsidR="00622402" w:rsidRPr="003B14E9" w:rsidRDefault="00622402" w:rsidP="00622402">
            <w:pPr>
              <w:pStyle w:val="CM4"/>
              <w:spacing w:before="60" w:after="60"/>
              <w:jc w:val="center"/>
              <w:rPr>
                <w:rFonts w:ascii="Times New Roman" w:hAnsi="Times New Roman"/>
                <w:color w:val="000000"/>
                <w:sz w:val="18"/>
                <w:szCs w:val="18"/>
              </w:rPr>
            </w:pPr>
            <w:r w:rsidRPr="003B14E9">
              <w:rPr>
                <w:rFonts w:ascii="Times New Roman" w:hAnsi="Times New Roman"/>
                <w:color w:val="000000"/>
                <w:sz w:val="18"/>
                <w:szCs w:val="18"/>
              </w:rPr>
              <w:lastRenderedPageBreak/>
              <w:t>Secțiunea 5</w:t>
            </w:r>
          </w:p>
          <w:p w14:paraId="026922EA" w14:textId="77777777" w:rsidR="00622402" w:rsidRPr="003B14E9" w:rsidRDefault="00622402" w:rsidP="00622402">
            <w:pPr>
              <w:pStyle w:val="CM4"/>
              <w:spacing w:before="60" w:after="60"/>
              <w:jc w:val="center"/>
              <w:rPr>
                <w:rFonts w:ascii="Times New Roman" w:hAnsi="Times New Roman"/>
                <w:i/>
                <w:iCs/>
                <w:color w:val="000000"/>
                <w:sz w:val="18"/>
                <w:szCs w:val="18"/>
              </w:rPr>
            </w:pPr>
            <w:r w:rsidRPr="003B14E9">
              <w:rPr>
                <w:rFonts w:ascii="Times New Roman" w:hAnsi="Times New Roman"/>
                <w:b/>
                <w:bCs/>
                <w:sz w:val="18"/>
                <w:szCs w:val="18"/>
              </w:rPr>
              <w:t>Metoda  expunerii inițiale</w:t>
            </w:r>
            <w:r w:rsidRPr="003B14E9">
              <w:rPr>
                <w:rFonts w:ascii="Times New Roman" w:hAnsi="Times New Roman"/>
                <w:i/>
                <w:iCs/>
                <w:color w:val="000000"/>
                <w:sz w:val="18"/>
                <w:szCs w:val="18"/>
              </w:rPr>
              <w:t xml:space="preserve"> </w:t>
            </w:r>
          </w:p>
          <w:p w14:paraId="42665F82" w14:textId="74AD5A51"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i/>
                <w:iCs/>
                <w:color w:val="000000"/>
                <w:sz w:val="18"/>
                <w:szCs w:val="18"/>
              </w:rPr>
              <w:t>Articolul 282</w:t>
            </w:r>
            <w:r w:rsidR="00EC4384" w:rsidRPr="003B14E9">
              <w:rPr>
                <w:rFonts w:ascii="Times New Roman" w:hAnsi="Times New Roman"/>
                <w:i/>
                <w:iCs/>
                <w:color w:val="000000"/>
                <w:sz w:val="18"/>
                <w:szCs w:val="18"/>
              </w:rPr>
              <w:t xml:space="preserve"> </w:t>
            </w:r>
            <w:r w:rsidRPr="003B14E9">
              <w:rPr>
                <w:rFonts w:ascii="Times New Roman" w:hAnsi="Times New Roman"/>
                <w:b/>
                <w:bCs/>
                <w:color w:val="000000"/>
                <w:sz w:val="18"/>
                <w:szCs w:val="18"/>
              </w:rPr>
              <w:t>Calculul valorii expunerii</w:t>
            </w:r>
          </w:p>
          <w:p w14:paraId="6C6AD4FE"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(1) Instituţiile pot calcula o singură valoare a expunerii pentru toate tranzacţiile care fac obiectul unui acord de compensare contractuală în cazul în care sunt îndeplinite toate condiţiile prevăzute la articolul 274 alineatul (1). În caz contrar, instituţiile calculează separat câte o valoare a expunerii pentru fiecare tranzacţie, care este tratată ca fiind propriul set de compensare. </w:t>
            </w:r>
            <w:r w:rsidRPr="003B14E9">
              <w:rPr>
                <w:rFonts w:ascii="Times New Roman" w:hAnsi="Times New Roman"/>
                <w:b/>
                <w:bCs/>
                <w:color w:val="000000"/>
                <w:sz w:val="18"/>
                <w:szCs w:val="18"/>
              </w:rPr>
              <w:t>▼M8</w:t>
            </w:r>
          </w:p>
          <w:p w14:paraId="5979FB26"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(2) Valoarea expunerii unui set de compensare sau a unei tranzacţii este suma dintre costul de înlocuire curent și expunerea viitoare potenţială, înmulţită cu 1,4. </w:t>
            </w:r>
          </w:p>
          <w:p w14:paraId="37A4C9C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(3) Costul de înlocuire curent menţionat la alineatul (2) se calculează după cum urmează: </w:t>
            </w:r>
          </w:p>
          <w:p w14:paraId="47DDC37D"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 în cazul seturilor de compensare formate din tranzacţii care sunt tranzacţionate pe o bursă recunoscută sau care sunt compensate la nivel central de către o contraparte centrală autorizată în conformitate cu articolul 14 din Regulamentul (UE) nr. 648/2012 ori recunoscută în conformitate cu articolul 25 din regulamentul respectiv sau pentru care au loc schimburi bilaterale de garanţii reale cu contrapartea în conformitate cu articolul 11 din Regulamentul (UE) nr. 648/2012, instituţiile utilizează următoarea formulă: </w:t>
            </w:r>
          </w:p>
          <w:p w14:paraId="21A1775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RC = TH + MTA </w:t>
            </w:r>
          </w:p>
          <w:p w14:paraId="4A6C11C8"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2EF302F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RC = costul de înlocuire; </w:t>
            </w:r>
          </w:p>
          <w:p w14:paraId="3BC4B6D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TH = pragul de marjă aplicabil setului de compensare conform contractului în marjă sub care instituţia nu poate solicita garanţii reale; și </w:t>
            </w:r>
          </w:p>
          <w:p w14:paraId="04A7F19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MTA = suma minimă de transfer aplicabilă setului de compensare conform contractului în marjă; </w:t>
            </w:r>
          </w:p>
          <w:p w14:paraId="39EADA69"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în cazul tuturor celorlalte seturi de compensare sau tranzacţii individuale, instituţiile utilizează următoarea formulă: </w:t>
            </w:r>
          </w:p>
          <w:p w14:paraId="01C9B15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RC = max{CMV, 0} </w:t>
            </w:r>
          </w:p>
          <w:p w14:paraId="31A5C74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unde: </w:t>
            </w:r>
          </w:p>
          <w:p w14:paraId="3FDAB2C1"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RC = costul de înlocuire; și </w:t>
            </w:r>
          </w:p>
          <w:p w14:paraId="44087D4A"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CMV = valoarea de piaţă curentă. </w:t>
            </w:r>
          </w:p>
          <w:p w14:paraId="14BB5E4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Pentru a calcula costul de înlocuire curent, instituţiile actualizează valoarea de piaţă curentă cel puţin lunar. </w:t>
            </w:r>
          </w:p>
          <w:p w14:paraId="731D37FD"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(4) Instituţiile calculează expunerea viitoare potenţială menţionată la alineatul (2) după cum urmează: </w:t>
            </w:r>
          </w:p>
          <w:p w14:paraId="42F9CF7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(a) expunerea viitoare potenţială a unui set de compensare este suma expunerilor viitoare potenţiale ale tuturor tranzacţiilor incluse în setul de compensare, calculate în conformitate cu litera (b); </w:t>
            </w:r>
          </w:p>
          <w:p w14:paraId="0498A0BC"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(b) expunerea viitoare potenţială a unei singure tranzacţii este valoarea noţională a acesteia înmulţită cu: </w:t>
            </w:r>
          </w:p>
          <w:p w14:paraId="6E5B0EFB"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 scadenţa reziduală a tranzacţiei exprimată în ani pentru contractele derivate pe rata dobânzii, înmulţită cu 0,5 %; </w:t>
            </w:r>
          </w:p>
          <w:p w14:paraId="365AA659"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 scadenţa reziduală a tranzacţiei exprimată în ani pentru contractele derivate de credit, înmulţită cu 6 %; </w:t>
            </w:r>
          </w:p>
          <w:p w14:paraId="4EAC8537"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(iii) 4 % pentru instrumentele financiare derivate pe cursul de schimb valutar; </w:t>
            </w:r>
          </w:p>
          <w:p w14:paraId="4B7F6380"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(iv) 18 % pentru instrumentele financiare derivate pe aur și mărfuri, altele decât instrumentele financiare derivate pe energie electrică; </w:t>
            </w:r>
          </w:p>
          <w:p w14:paraId="7118FB24"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(v) 40 % pentru instrumentele financiare derivate pe energie electrică; </w:t>
            </w:r>
          </w:p>
          <w:p w14:paraId="66678584"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(vi) 32 % pentru instrumentele financiare derivate pe titluri de capital; </w:t>
            </w:r>
            <w:r w:rsidRPr="003B14E9">
              <w:rPr>
                <w:rFonts w:ascii="Times New Roman" w:hAnsi="Times New Roman"/>
                <w:b/>
                <w:bCs/>
                <w:color w:val="000000"/>
                <w:sz w:val="18"/>
                <w:szCs w:val="18"/>
              </w:rPr>
              <w:t>▼M8</w:t>
            </w:r>
          </w:p>
          <w:p w14:paraId="2C7A1975"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lastRenderedPageBreak/>
              <w:t xml:space="preserve">(c) valoarea noţională menţionată la litera (b) de la prezentul alineat se determină în conformitate cu articolul 279b alineatele (2) și (3) pentru toate instrumentele financiare derivate enumerate la litera respectivă; în plus, valoarea noţională a instrumentelor financiare derivate menţionate la prezentul alineat litera (b) punctele (iii)-(vi) se determină în conformitate cu articolul 279b alineatul (1) literele (b) și (c); </w:t>
            </w:r>
          </w:p>
          <w:p w14:paraId="632F64AF" w14:textId="77777777" w:rsidR="00622402" w:rsidRPr="003B14E9" w:rsidRDefault="00622402" w:rsidP="00622402">
            <w:pPr>
              <w:pStyle w:val="CM4"/>
              <w:spacing w:before="60" w:after="60"/>
              <w:rPr>
                <w:rFonts w:ascii="Times New Roman" w:hAnsi="Times New Roman"/>
                <w:color w:val="000000"/>
                <w:sz w:val="18"/>
                <w:szCs w:val="18"/>
              </w:rPr>
            </w:pPr>
            <w:r w:rsidRPr="003B14E9">
              <w:rPr>
                <w:rFonts w:ascii="Times New Roman" w:hAnsi="Times New Roman"/>
                <w:color w:val="000000"/>
                <w:sz w:val="18"/>
                <w:szCs w:val="18"/>
              </w:rPr>
              <w:t xml:space="preserve">(d) expunerea viitoare potenţială a seturilor de compensare menţionate la alineatul (3) litera (a) se înmulţește cu 0,42. </w:t>
            </w:r>
          </w:p>
          <w:p w14:paraId="2C367CD8" w14:textId="77777777" w:rsidR="00622402" w:rsidRPr="003B14E9" w:rsidRDefault="00622402" w:rsidP="00622402">
            <w:pPr>
              <w:pStyle w:val="title-article-norm"/>
              <w:jc w:val="both"/>
              <w:rPr>
                <w:i w:val="0"/>
                <w:iCs w:val="0"/>
                <w:sz w:val="18"/>
                <w:szCs w:val="18"/>
                <w:lang w:val="ro-MD"/>
              </w:rPr>
            </w:pPr>
            <w:r w:rsidRPr="003B14E9">
              <w:rPr>
                <w:i w:val="0"/>
                <w:iCs w:val="0"/>
                <w:color w:val="000000"/>
                <w:sz w:val="18"/>
                <w:szCs w:val="18"/>
              </w:rPr>
              <w:t>Pentru a calcula expunerea potenţială a instrumentelor financiare derivate pe rata dobânzii și a instrumentelor financiare derivate de credit în conformitate cu litera (b) punctele (i) și (ii), o instituţie poate alege să utilizeze scadenţa iniţială în loc de scadenţa reziduală a contractelor.</w:t>
            </w:r>
          </w:p>
          <w:p w14:paraId="46433229" w14:textId="41603A31" w:rsidR="00622402" w:rsidRPr="003B14E9" w:rsidRDefault="00622402" w:rsidP="00622402">
            <w:pPr>
              <w:pStyle w:val="CM4"/>
              <w:spacing w:before="60" w:after="60"/>
              <w:rPr>
                <w:rFonts w:ascii="Times New Roman" w:hAnsi="Times New Roman"/>
                <w:i/>
                <w:iCs/>
                <w:color w:val="000000"/>
                <w:sz w:val="20"/>
                <w:szCs w:val="20"/>
              </w:rPr>
            </w:pPr>
            <w:r w:rsidRPr="003B14E9">
              <w:rPr>
                <w:rFonts w:ascii="Times New Roman" w:hAnsi="Times New Roman"/>
                <w:sz w:val="18"/>
                <w:szCs w:val="18"/>
                <w:lang w:val="ro-MD"/>
              </w:rPr>
              <w:t xml:space="preserve"> </w:t>
            </w:r>
          </w:p>
        </w:tc>
        <w:tc>
          <w:tcPr>
            <w:tcW w:w="4425" w:type="dxa"/>
            <w:shd w:val="clear" w:color="auto" w:fill="auto"/>
          </w:tcPr>
          <w:p w14:paraId="23A54DD5" w14:textId="77777777" w:rsidR="00622402" w:rsidRPr="003B14E9" w:rsidRDefault="00622402" w:rsidP="00622402">
            <w:pPr>
              <w:ind w:firstLine="567"/>
              <w:jc w:val="center"/>
              <w:rPr>
                <w:b/>
                <w:bCs/>
                <w:sz w:val="18"/>
                <w:szCs w:val="18"/>
                <w:lang w:val="ro-MD"/>
              </w:rPr>
            </w:pPr>
            <w:r w:rsidRPr="003B14E9">
              <w:rPr>
                <w:b/>
                <w:bCs/>
                <w:sz w:val="18"/>
                <w:szCs w:val="18"/>
                <w:lang w:val="ro-MD"/>
              </w:rPr>
              <w:lastRenderedPageBreak/>
              <w:t>Capitolul V</w:t>
            </w:r>
          </w:p>
          <w:p w14:paraId="17A7AAAA" w14:textId="51D5F00B" w:rsidR="00622402" w:rsidRPr="003B14E9" w:rsidRDefault="00622402" w:rsidP="00622402">
            <w:pPr>
              <w:pStyle w:val="Default"/>
              <w:ind w:firstLine="567"/>
              <w:jc w:val="center"/>
              <w:rPr>
                <w:rFonts w:ascii="Times New Roman" w:hAnsi="Times New Roman" w:cs="Times New Roman"/>
                <w:b/>
                <w:bCs/>
                <w:sz w:val="18"/>
                <w:szCs w:val="18"/>
              </w:rPr>
            </w:pPr>
          </w:p>
          <w:p w14:paraId="164AFDC6" w14:textId="77777777" w:rsidR="00622402" w:rsidRPr="003B14E9" w:rsidRDefault="00622402" w:rsidP="00622402">
            <w:pPr>
              <w:pStyle w:val="CM4"/>
              <w:spacing w:before="60" w:after="60"/>
              <w:ind w:firstLine="567"/>
              <w:jc w:val="center"/>
              <w:rPr>
                <w:rFonts w:ascii="Times New Roman" w:hAnsi="Times New Roman"/>
                <w:i/>
                <w:iCs/>
                <w:color w:val="000000"/>
                <w:sz w:val="18"/>
                <w:szCs w:val="18"/>
              </w:rPr>
            </w:pPr>
            <w:r w:rsidRPr="003B14E9">
              <w:rPr>
                <w:rFonts w:ascii="Times New Roman" w:hAnsi="Times New Roman"/>
                <w:i/>
                <w:iCs/>
                <w:color w:val="000000"/>
                <w:sz w:val="18"/>
                <w:szCs w:val="18"/>
              </w:rPr>
              <w:t xml:space="preserve">Secțiunea 1 </w:t>
            </w:r>
          </w:p>
          <w:p w14:paraId="55F64961" w14:textId="77777777" w:rsidR="00622402" w:rsidRPr="003B14E9" w:rsidRDefault="00622402" w:rsidP="00622402">
            <w:pPr>
              <w:pStyle w:val="Default"/>
              <w:ind w:firstLine="567"/>
              <w:jc w:val="center"/>
              <w:rPr>
                <w:rFonts w:ascii="Times New Roman" w:hAnsi="Times New Roman" w:cs="Times New Roman"/>
                <w:b/>
                <w:bCs/>
                <w:sz w:val="18"/>
                <w:szCs w:val="18"/>
              </w:rPr>
            </w:pPr>
            <w:r w:rsidRPr="003B14E9">
              <w:rPr>
                <w:rFonts w:ascii="Times New Roman" w:hAnsi="Times New Roman" w:cs="Times New Roman"/>
                <w:b/>
                <w:bCs/>
                <w:sz w:val="18"/>
                <w:szCs w:val="18"/>
              </w:rPr>
              <w:t>Calculul valorii expunerii</w:t>
            </w:r>
          </w:p>
          <w:p w14:paraId="6469EDC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86.</w:t>
            </w:r>
            <w:r w:rsidRPr="003B14E9">
              <w:rPr>
                <w:rFonts w:ascii="Times New Roman" w:hAnsi="Times New Roman" w:cs="Times New Roman"/>
                <w:sz w:val="18"/>
                <w:szCs w:val="18"/>
              </w:rPr>
              <w:t xml:space="preserve"> Băncile pot calcula o singură valoare a expunerii pentru toate tranzacţiile care fac obiectul unui acord de compensare contractuală în cazul în care sunt îndeplinite toate condiţiile prevăzute la punctul 30. În caz contrar, băncile calculează separat câte o valoare a expunerii pentru fiecare tranzacţie, care este tratată ca fiind propriul set de compensare. </w:t>
            </w:r>
          </w:p>
          <w:p w14:paraId="4ED38F1C"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87.</w:t>
            </w:r>
            <w:r w:rsidRPr="003B14E9">
              <w:rPr>
                <w:rFonts w:ascii="Times New Roman" w:hAnsi="Times New Roman" w:cs="Times New Roman"/>
                <w:sz w:val="18"/>
                <w:szCs w:val="18"/>
              </w:rPr>
              <w:t xml:space="preserve"> Valoarea expunerii unui set de compensare sau a unei tranzacţii este suma dintre costul de înlocuire curent și expunerea viitoare potenţială, înmulţită cu 1,4. </w:t>
            </w:r>
          </w:p>
          <w:p w14:paraId="2525F845"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88.</w:t>
            </w:r>
            <w:r w:rsidRPr="003B14E9">
              <w:rPr>
                <w:rFonts w:ascii="Times New Roman" w:hAnsi="Times New Roman" w:cs="Times New Roman"/>
                <w:sz w:val="18"/>
                <w:szCs w:val="18"/>
              </w:rPr>
              <w:t xml:space="preserve"> În cazul seturilor de compensare sau tranzacţiilor individuale, costul de înlocuire curent menţionat la punctul 87 se calculează după următoarea formulă:</w:t>
            </w:r>
          </w:p>
          <w:p w14:paraId="3CB23367" w14:textId="77777777" w:rsidR="00622402" w:rsidRPr="003B14E9" w:rsidRDefault="00622402" w:rsidP="00622402">
            <w:pPr>
              <w:pStyle w:val="Default"/>
              <w:jc w:val="both"/>
              <w:rPr>
                <w:rFonts w:ascii="Times New Roman" w:hAnsi="Times New Roman" w:cs="Times New Roman"/>
                <w:sz w:val="18"/>
                <w:szCs w:val="18"/>
              </w:rPr>
            </w:pPr>
          </w:p>
          <w:p w14:paraId="1B6AC312"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 </w:t>
            </w:r>
          </w:p>
          <w:p w14:paraId="69CA5C68" w14:textId="77777777" w:rsidR="00622402" w:rsidRPr="003B14E9" w:rsidRDefault="00622402" w:rsidP="00622402">
            <w:pPr>
              <w:pStyle w:val="Default"/>
              <w:jc w:val="center"/>
              <w:rPr>
                <w:rFonts w:ascii="Times New Roman" w:hAnsi="Times New Roman" w:cs="Times New Roman"/>
                <w:sz w:val="18"/>
                <w:szCs w:val="18"/>
              </w:rPr>
            </w:pPr>
            <w:r w:rsidRPr="003B14E9">
              <w:rPr>
                <w:rFonts w:ascii="Times New Roman" w:hAnsi="Times New Roman" w:cs="Times New Roman"/>
                <w:sz w:val="18"/>
                <w:szCs w:val="18"/>
              </w:rPr>
              <w:t>RC = max{CMV, 0}</w:t>
            </w:r>
          </w:p>
          <w:p w14:paraId="1347FDF1"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unde: </w:t>
            </w:r>
          </w:p>
          <w:p w14:paraId="4BE5B934"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RC = costul de înlocuire; și </w:t>
            </w:r>
          </w:p>
          <w:p w14:paraId="46FED1A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CMV = valoarea de piaţă curentă. </w:t>
            </w:r>
          </w:p>
          <w:p w14:paraId="38BD3A9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Pentru a calcula costul de înlocuire curent, băncile actualizează valoarea de piaţă curentă cel puţin lunar. </w:t>
            </w:r>
          </w:p>
          <w:p w14:paraId="4E7CE382"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b/>
                <w:bCs/>
                <w:sz w:val="18"/>
                <w:szCs w:val="18"/>
              </w:rPr>
              <w:t>89.</w:t>
            </w:r>
            <w:r w:rsidRPr="003B14E9">
              <w:rPr>
                <w:rFonts w:ascii="Times New Roman" w:hAnsi="Times New Roman" w:cs="Times New Roman"/>
                <w:sz w:val="18"/>
                <w:szCs w:val="18"/>
              </w:rPr>
              <w:t xml:space="preserve"> Băncile calculează expunerea viitoare potenţială menţionată la punctul 87 după cum urmează: </w:t>
            </w:r>
          </w:p>
          <w:p w14:paraId="2830BE5B"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1) expunerea viitoare potenţială a unui set de compensare este suma expunerilor viitoare potenţiale ale tuturor tranzacţiilor incluse în setul de compensare, calculate în conformitate cu subpunctul 2);</w:t>
            </w:r>
          </w:p>
          <w:p w14:paraId="71037183"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2) expunerea viitoare potenţială a unei singure tranzacţii este valoarea noţională a acesteia înmulţită cu: </w:t>
            </w:r>
          </w:p>
          <w:p w14:paraId="2C26A13B"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a) scadenţa reziduală a tranzacţiei exprimată în ani pentru contractele derivate pe rata dobânzii, înmulţită cu 0,5 %; </w:t>
            </w:r>
          </w:p>
          <w:p w14:paraId="61042AF9"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lastRenderedPageBreak/>
              <w:t xml:space="preserve">b) scadenţa reziduală a tranzacţiei exprimată în ani pentru contractele derivate de credit, înmulţită cu 6 %; </w:t>
            </w:r>
          </w:p>
          <w:p w14:paraId="77F18ACA"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c) 4 % pentru instrumentele financiare derivate pe cursul de schimb valutar; </w:t>
            </w:r>
          </w:p>
          <w:p w14:paraId="08665CA6"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d) 18 % pentru instrumentele financiare derivate pe aur și mărfuri, altele decât instrumentele financiare derivate pe energie electrică; </w:t>
            </w:r>
          </w:p>
          <w:p w14:paraId="59FD0A1F"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e) 40 % pentru instrumentele financiare derivate pe energie electrică; </w:t>
            </w:r>
          </w:p>
          <w:p w14:paraId="5B7A1B7B"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f) 32 % pentru instrumentele financiare derivate pe titluri de capital; </w:t>
            </w:r>
          </w:p>
          <w:p w14:paraId="767D1DD0"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3) valoarea noţională menţionată la subpunctul 2) de la prezentul punct se determină în conformitate cu punctele 58 și 59 pentru toate instrumentele financiare derivate enumerate la subpunctul respectiv; în plus, valoarea noţională a instrumentelor financiare derivate menţionate la subpunctul 2) literele c) – f) se determină în conformitate cu punctul 57 subpunctele 2)  și 3); </w:t>
            </w:r>
          </w:p>
          <w:p w14:paraId="38EDB67D"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4) expunerea viitoare potenţială a seturilor de compensare menţionate la punctul 88 subpunctul 1) se înmulţește cu 0,42. </w:t>
            </w:r>
          </w:p>
          <w:p w14:paraId="127EB20E" w14:textId="77777777" w:rsidR="00622402" w:rsidRPr="003B14E9" w:rsidRDefault="00622402" w:rsidP="00622402">
            <w:pPr>
              <w:pStyle w:val="Default"/>
              <w:jc w:val="both"/>
              <w:rPr>
                <w:rFonts w:ascii="Times New Roman" w:hAnsi="Times New Roman" w:cs="Times New Roman"/>
                <w:sz w:val="18"/>
                <w:szCs w:val="18"/>
              </w:rPr>
            </w:pPr>
            <w:r w:rsidRPr="003B14E9">
              <w:rPr>
                <w:rFonts w:ascii="Times New Roman" w:hAnsi="Times New Roman" w:cs="Times New Roman"/>
                <w:sz w:val="18"/>
                <w:szCs w:val="18"/>
              </w:rPr>
              <w:t xml:space="preserve">Pentru a calcula expunerea potenţială a instrumentelor financiare derivate pe rata dobânzii și a instrumentelor financiare derivate de credit în conformitate cu subpunctul 2) litera a) și b), o bancă poate alege să utilizeze scadenţa iniţială în loc de scadenţa reziduală a contractelor. </w:t>
            </w:r>
          </w:p>
          <w:p w14:paraId="1AE8334D"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5904D3BC" w14:textId="218171FE" w:rsidR="00622402" w:rsidRPr="00755D83" w:rsidRDefault="00622402" w:rsidP="00622402">
            <w:pPr>
              <w:jc w:val="both"/>
              <w:rPr>
                <w:sz w:val="18"/>
                <w:szCs w:val="18"/>
                <w:lang w:val="ro-MD"/>
              </w:rPr>
            </w:pPr>
            <w:r w:rsidRPr="00755D83">
              <w:rPr>
                <w:sz w:val="18"/>
                <w:szCs w:val="18"/>
                <w:lang w:val="ro-MD"/>
              </w:rPr>
              <w:lastRenderedPageBreak/>
              <w:t>Parțial compatibil</w:t>
            </w:r>
          </w:p>
        </w:tc>
        <w:tc>
          <w:tcPr>
            <w:tcW w:w="3041" w:type="dxa"/>
          </w:tcPr>
          <w:p w14:paraId="293BA712" w14:textId="7DFEEBDF" w:rsidR="00622402" w:rsidRPr="003B14E9" w:rsidRDefault="00622402" w:rsidP="00622402">
            <w:pPr>
              <w:rPr>
                <w:sz w:val="18"/>
                <w:szCs w:val="18"/>
                <w:highlight w:val="red"/>
                <w:lang w:val="ro-MD"/>
              </w:rPr>
            </w:pPr>
            <w:r w:rsidRPr="003B14E9">
              <w:rPr>
                <w:color w:val="000000"/>
                <w:sz w:val="18"/>
                <w:szCs w:val="18"/>
                <w:lang w:val="en-US"/>
              </w:rPr>
              <w:t>Va fi transpus la o etapă ulterioară – în funcție de necesitatea prevederilor respective.</w:t>
            </w:r>
          </w:p>
        </w:tc>
        <w:tc>
          <w:tcPr>
            <w:tcW w:w="1055" w:type="dxa"/>
            <w:tcBorders>
              <w:top w:val="single" w:sz="4" w:space="0" w:color="auto"/>
              <w:bottom w:val="single" w:sz="4" w:space="0" w:color="auto"/>
            </w:tcBorders>
          </w:tcPr>
          <w:p w14:paraId="708513DC"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3C57D336" w14:textId="77777777" w:rsidR="00622402" w:rsidRPr="003B14E9" w:rsidRDefault="00622402" w:rsidP="00622402">
            <w:pPr>
              <w:jc w:val="both"/>
              <w:rPr>
                <w:sz w:val="18"/>
                <w:szCs w:val="18"/>
                <w:lang w:val="ro-MD"/>
              </w:rPr>
            </w:pPr>
          </w:p>
        </w:tc>
      </w:tr>
      <w:tr w:rsidR="00622402" w:rsidRPr="003B14E9" w14:paraId="62F9C368" w14:textId="77777777" w:rsidTr="00604EF1">
        <w:trPr>
          <w:trHeight w:val="918"/>
        </w:trPr>
        <w:tc>
          <w:tcPr>
            <w:tcW w:w="4473" w:type="dxa"/>
          </w:tcPr>
          <w:p w14:paraId="1C97CD58" w14:textId="77777777" w:rsidR="00622402" w:rsidRPr="003B14E9" w:rsidRDefault="00622402" w:rsidP="00622402">
            <w:pPr>
              <w:pStyle w:val="title-article-norm"/>
              <w:rPr>
                <w:i w:val="0"/>
                <w:sz w:val="18"/>
                <w:szCs w:val="18"/>
                <w:lang w:val="ro-MD"/>
              </w:rPr>
            </w:pPr>
            <w:r w:rsidRPr="003B14E9">
              <w:rPr>
                <w:i w:val="0"/>
                <w:sz w:val="18"/>
                <w:szCs w:val="18"/>
                <w:lang w:val="ro-MD"/>
              </w:rPr>
              <w:lastRenderedPageBreak/>
              <w:t>Secțiunea 6</w:t>
            </w:r>
          </w:p>
          <w:p w14:paraId="43469BA3" w14:textId="174A6881" w:rsidR="00622402" w:rsidRPr="003B14E9" w:rsidRDefault="00622402" w:rsidP="00622402">
            <w:pPr>
              <w:pStyle w:val="title-article-norm"/>
              <w:rPr>
                <w:b/>
                <w:i w:val="0"/>
                <w:sz w:val="18"/>
                <w:szCs w:val="18"/>
                <w:lang w:val="ro-MD"/>
              </w:rPr>
            </w:pPr>
            <w:r w:rsidRPr="003B14E9">
              <w:rPr>
                <w:b/>
                <w:i w:val="0"/>
                <w:sz w:val="18"/>
                <w:szCs w:val="18"/>
                <w:lang w:val="ro-MD"/>
              </w:rPr>
              <w:t>Metoda modelului intern</w:t>
            </w:r>
          </w:p>
          <w:p w14:paraId="5EDDA836" w14:textId="06CD9EF9" w:rsidR="00622402" w:rsidRPr="003B14E9" w:rsidRDefault="00622402" w:rsidP="00622402">
            <w:pPr>
              <w:pStyle w:val="CM4"/>
              <w:spacing w:before="60" w:after="60"/>
              <w:rPr>
                <w:rFonts w:ascii="Times New Roman" w:hAnsi="Times New Roman"/>
                <w:i/>
                <w:iCs/>
                <w:color w:val="000000"/>
                <w:sz w:val="20"/>
                <w:szCs w:val="20"/>
              </w:rPr>
            </w:pPr>
            <w:r w:rsidRPr="003B14E9">
              <w:rPr>
                <w:rFonts w:ascii="Times New Roman" w:hAnsi="Times New Roman"/>
                <w:i/>
                <w:iCs/>
                <w:sz w:val="18"/>
                <w:szCs w:val="18"/>
                <w:lang w:val="ro-MD"/>
              </w:rPr>
              <w:t>Articolul 283</w:t>
            </w:r>
            <w:r w:rsidRPr="003B14E9">
              <w:rPr>
                <w:rFonts w:ascii="Times New Roman" w:hAnsi="Times New Roman"/>
                <w:sz w:val="18"/>
                <w:szCs w:val="18"/>
                <w:lang w:val="ro-MD"/>
              </w:rPr>
              <w:t xml:space="preserve"> </w:t>
            </w:r>
            <w:r w:rsidRPr="003B14E9">
              <w:rPr>
                <w:rFonts w:ascii="Times New Roman" w:hAnsi="Times New Roman"/>
                <w:b/>
                <w:sz w:val="18"/>
                <w:szCs w:val="18"/>
                <w:lang w:val="ro-MD"/>
              </w:rPr>
              <w:t xml:space="preserve">Permisiunea de utilizare a metodei modelului intern - </w:t>
            </w:r>
            <w:r w:rsidRPr="003B14E9">
              <w:rPr>
                <w:rFonts w:ascii="Times New Roman" w:hAnsi="Times New Roman"/>
                <w:i/>
                <w:iCs/>
                <w:sz w:val="18"/>
                <w:szCs w:val="18"/>
                <w:lang w:val="ro-MD"/>
              </w:rPr>
              <w:t>Articolul 294</w:t>
            </w:r>
            <w:r w:rsidRPr="003B14E9">
              <w:rPr>
                <w:rFonts w:ascii="Times New Roman" w:hAnsi="Times New Roman"/>
                <w:sz w:val="18"/>
                <w:szCs w:val="18"/>
                <w:lang w:val="ro-MD"/>
              </w:rPr>
              <w:t xml:space="preserve"> </w:t>
            </w:r>
            <w:r w:rsidRPr="003B14E9">
              <w:rPr>
                <w:rFonts w:ascii="Times New Roman" w:hAnsi="Times New Roman"/>
                <w:b/>
                <w:sz w:val="18"/>
                <w:szCs w:val="18"/>
                <w:lang w:val="ro-MD"/>
              </w:rPr>
              <w:t>Cerințe de validare</w:t>
            </w:r>
          </w:p>
        </w:tc>
        <w:tc>
          <w:tcPr>
            <w:tcW w:w="4425" w:type="dxa"/>
            <w:shd w:val="clear" w:color="auto" w:fill="auto"/>
          </w:tcPr>
          <w:p w14:paraId="788B0F55"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09D8296B" w14:textId="1958795F" w:rsidR="00622402" w:rsidRPr="003B14E9" w:rsidRDefault="00622402" w:rsidP="00622402">
            <w:pPr>
              <w:jc w:val="both"/>
              <w:rPr>
                <w:sz w:val="18"/>
                <w:szCs w:val="18"/>
                <w:lang w:val="ro-MD"/>
              </w:rPr>
            </w:pPr>
            <w:r w:rsidRPr="003B14E9">
              <w:rPr>
                <w:sz w:val="18"/>
                <w:szCs w:val="18"/>
                <w:lang w:val="ro-MD"/>
              </w:rPr>
              <w:t>Incompatibil</w:t>
            </w:r>
          </w:p>
        </w:tc>
        <w:tc>
          <w:tcPr>
            <w:tcW w:w="3041" w:type="dxa"/>
          </w:tcPr>
          <w:p w14:paraId="44B992F6" w14:textId="3A24DABD" w:rsidR="00622402" w:rsidRPr="003B14E9" w:rsidRDefault="00622402" w:rsidP="00622402">
            <w:pPr>
              <w:rPr>
                <w:sz w:val="18"/>
                <w:szCs w:val="18"/>
                <w:highlight w:val="red"/>
                <w:lang w:val="ro-MD"/>
              </w:rPr>
            </w:pPr>
            <w:r w:rsidRPr="003B14E9">
              <w:rPr>
                <w:sz w:val="18"/>
                <w:szCs w:val="18"/>
                <w:lang w:val="ro-MD"/>
              </w:rPr>
              <w:t>Se va transpune în reglementările ce țin de abordarea IRB.</w:t>
            </w:r>
          </w:p>
        </w:tc>
        <w:tc>
          <w:tcPr>
            <w:tcW w:w="1055" w:type="dxa"/>
            <w:tcBorders>
              <w:top w:val="single" w:sz="4" w:space="0" w:color="auto"/>
              <w:bottom w:val="single" w:sz="4" w:space="0" w:color="auto"/>
            </w:tcBorders>
          </w:tcPr>
          <w:p w14:paraId="1E47BDD6" w14:textId="56CE0F11" w:rsidR="00622402" w:rsidRPr="003B14E9" w:rsidRDefault="00622402" w:rsidP="00622402">
            <w:pPr>
              <w:jc w:val="both"/>
              <w:rPr>
                <w:sz w:val="18"/>
                <w:szCs w:val="18"/>
                <w:lang w:val="ro-MD"/>
              </w:rPr>
            </w:pPr>
          </w:p>
        </w:tc>
        <w:tc>
          <w:tcPr>
            <w:tcW w:w="1330" w:type="dxa"/>
            <w:tcBorders>
              <w:bottom w:val="single" w:sz="4" w:space="0" w:color="auto"/>
            </w:tcBorders>
          </w:tcPr>
          <w:p w14:paraId="414A85BF" w14:textId="77777777" w:rsidR="00622402" w:rsidRPr="003B14E9" w:rsidRDefault="00622402" w:rsidP="00622402">
            <w:pPr>
              <w:jc w:val="both"/>
              <w:rPr>
                <w:sz w:val="18"/>
                <w:szCs w:val="18"/>
                <w:lang w:val="ro-MD"/>
              </w:rPr>
            </w:pPr>
          </w:p>
        </w:tc>
      </w:tr>
      <w:tr w:rsidR="00622402" w:rsidRPr="003B14E9" w14:paraId="43EAA930" w14:textId="77777777" w:rsidTr="00604EF1">
        <w:trPr>
          <w:trHeight w:val="918"/>
        </w:trPr>
        <w:tc>
          <w:tcPr>
            <w:tcW w:w="4473" w:type="dxa"/>
          </w:tcPr>
          <w:p w14:paraId="48097BD1" w14:textId="77777777" w:rsidR="00622402" w:rsidRPr="003B14E9" w:rsidRDefault="00622402" w:rsidP="00622402">
            <w:pPr>
              <w:pStyle w:val="title-article-norm"/>
              <w:rPr>
                <w:i w:val="0"/>
                <w:sz w:val="18"/>
                <w:szCs w:val="18"/>
                <w:lang w:val="ro-MD"/>
              </w:rPr>
            </w:pPr>
            <w:r w:rsidRPr="003B14E9">
              <w:rPr>
                <w:i w:val="0"/>
                <w:sz w:val="18"/>
                <w:szCs w:val="18"/>
                <w:lang w:val="ro-MD"/>
              </w:rPr>
              <w:t xml:space="preserve">Secțiunea 7 </w:t>
            </w:r>
          </w:p>
          <w:p w14:paraId="2EDFE0C3" w14:textId="77777777" w:rsidR="00622402" w:rsidRPr="003B14E9" w:rsidRDefault="00622402" w:rsidP="00622402">
            <w:pPr>
              <w:pStyle w:val="title-article-norm"/>
              <w:rPr>
                <w:b/>
                <w:i w:val="0"/>
                <w:sz w:val="18"/>
                <w:szCs w:val="18"/>
                <w:lang w:val="ro-MD"/>
              </w:rPr>
            </w:pPr>
            <w:r w:rsidRPr="003B14E9">
              <w:rPr>
                <w:b/>
                <w:i w:val="0"/>
                <w:sz w:val="18"/>
                <w:szCs w:val="18"/>
                <w:lang w:val="ro-MD"/>
              </w:rPr>
              <w:t xml:space="preserve">Compensarea contractuală </w:t>
            </w:r>
          </w:p>
          <w:p w14:paraId="5DBE5887" w14:textId="77777777" w:rsidR="00622402" w:rsidRPr="003B14E9" w:rsidRDefault="00622402" w:rsidP="00622402">
            <w:pPr>
              <w:pStyle w:val="title-article-norm"/>
              <w:jc w:val="left"/>
              <w:rPr>
                <w:b/>
                <w:i w:val="0"/>
                <w:sz w:val="18"/>
                <w:szCs w:val="18"/>
                <w:lang w:val="ro-MD"/>
              </w:rPr>
            </w:pPr>
            <w:r w:rsidRPr="003B14E9">
              <w:rPr>
                <w:sz w:val="18"/>
                <w:szCs w:val="18"/>
                <w:lang w:val="ro-MD"/>
              </w:rPr>
              <w:t xml:space="preserve">Articolul 295 </w:t>
            </w:r>
            <w:r w:rsidRPr="003B14E9">
              <w:rPr>
                <w:b/>
                <w:i w:val="0"/>
                <w:sz w:val="18"/>
                <w:szCs w:val="18"/>
                <w:lang w:val="ro-MD"/>
              </w:rPr>
              <w:t>Recunoașterea compensării contractuale ca diminuatoare de risc</w:t>
            </w:r>
          </w:p>
          <w:p w14:paraId="6A571C04" w14:textId="77777777" w:rsidR="00622402" w:rsidRPr="003B14E9" w:rsidRDefault="00622402" w:rsidP="00622402">
            <w:pPr>
              <w:pStyle w:val="title-article-norm"/>
              <w:jc w:val="left"/>
              <w:rPr>
                <w:i w:val="0"/>
                <w:sz w:val="18"/>
                <w:szCs w:val="18"/>
                <w:lang w:val="ro-MD"/>
              </w:rPr>
            </w:pPr>
            <w:r w:rsidRPr="003B14E9">
              <w:rPr>
                <w:i w:val="0"/>
                <w:sz w:val="18"/>
                <w:szCs w:val="18"/>
                <w:lang w:val="ro-MD"/>
              </w:rPr>
              <w:lastRenderedPageBreak/>
              <w:t xml:space="preserve">Instituțiile pot trata numai următoarele tipuri de acorduri de compensare contractuală ca fiind diminuatoare de risc în conformitate cu articolul 298, dacă acordul de compensare a fost recunoscut de autoritățile competente în conformitate cu articolul 296 și dacă instituția îndeplinește cerințele stabilite la articolul 297: </w:t>
            </w:r>
          </w:p>
          <w:p w14:paraId="2ADAB1A7" w14:textId="77777777" w:rsidR="00622402" w:rsidRPr="003B14E9" w:rsidRDefault="00622402" w:rsidP="00622402">
            <w:pPr>
              <w:pStyle w:val="title-article-norm"/>
              <w:jc w:val="left"/>
              <w:rPr>
                <w:sz w:val="18"/>
                <w:szCs w:val="18"/>
                <w:lang w:val="ro-MD"/>
              </w:rPr>
            </w:pPr>
            <w:r w:rsidRPr="003B14E9">
              <w:rPr>
                <w:i w:val="0"/>
                <w:sz w:val="18"/>
                <w:szCs w:val="18"/>
              </w:rPr>
              <w:t xml:space="preserve">(a) </w:t>
            </w:r>
            <w:r w:rsidRPr="003B14E9">
              <w:rPr>
                <w:i w:val="0"/>
                <w:sz w:val="18"/>
                <w:szCs w:val="18"/>
                <w:lang w:val="ro-MD"/>
              </w:rPr>
              <w:t>contractele bilaterale de novație între o instituție și contrapartea sa, în temeiul cărora creanțele și datoriile</w:t>
            </w:r>
            <w:r w:rsidRPr="003B14E9">
              <w:rPr>
                <w:i w:val="0"/>
                <w:sz w:val="18"/>
                <w:szCs w:val="18"/>
              </w:rPr>
              <w:t xml:space="preserve"> </w:t>
            </w:r>
            <w:r w:rsidRPr="003B14E9">
              <w:rPr>
                <w:i w:val="0"/>
                <w:sz w:val="18"/>
                <w:szCs w:val="18"/>
                <w:lang w:val="ro-MD"/>
              </w:rPr>
              <w:t xml:space="preserve">reciproce sunt automat amalgamate în așa fel încât novația stabilește, de fiecare dată când se aplică, o singură sumă netă astfel încât să creeze un singur contract nou care înlocuiește toate contractele anterioare și toate obligațiile între părți decurgând din aceste contracte și care este obligatoriu pentru părți; </w:t>
            </w:r>
          </w:p>
          <w:p w14:paraId="22DE123C" w14:textId="77777777" w:rsidR="00622402" w:rsidRPr="003B14E9" w:rsidRDefault="00622402" w:rsidP="00622402">
            <w:pPr>
              <w:pStyle w:val="title-article-norm"/>
              <w:jc w:val="left"/>
              <w:rPr>
                <w:i w:val="0"/>
                <w:sz w:val="18"/>
                <w:szCs w:val="18"/>
                <w:lang w:val="ro-MD"/>
              </w:rPr>
            </w:pPr>
            <w:r w:rsidRPr="003B14E9">
              <w:rPr>
                <w:i w:val="0"/>
                <w:sz w:val="18"/>
                <w:szCs w:val="18"/>
                <w:lang w:val="ro-MD"/>
              </w:rPr>
              <w:t xml:space="preserve">(b) alte acorduri bilaterale între o instituție și contrapartea sa; </w:t>
            </w:r>
          </w:p>
          <w:p w14:paraId="3C6E54F9" w14:textId="77777777" w:rsidR="00622402" w:rsidRPr="003B14E9" w:rsidRDefault="00622402" w:rsidP="00622402">
            <w:pPr>
              <w:pStyle w:val="title-article-norm"/>
              <w:jc w:val="left"/>
              <w:rPr>
                <w:i w:val="0"/>
                <w:sz w:val="18"/>
                <w:szCs w:val="18"/>
                <w:lang w:val="ro-MD"/>
              </w:rPr>
            </w:pPr>
            <w:r w:rsidRPr="003B14E9">
              <w:rPr>
                <w:i w:val="0"/>
                <w:sz w:val="18"/>
                <w:szCs w:val="18"/>
                <w:lang w:val="ro-MD"/>
              </w:rPr>
              <w:t>(c) acordurile de compensare contractuală între produse diferite, în cazul instituțiilor care au primit aprobarea să utilizeze metoda prevăzută în secțiunea 6 pentru tranzacțiile care intră în domeniul de aplicare a metodei respective. Autoritățile competente transmit ABE o listă a acordurilor de compensare contractuală între produse diferite aprobate.</w:t>
            </w:r>
          </w:p>
          <w:p w14:paraId="5A010B59" w14:textId="6FBEB1BD" w:rsidR="00622402" w:rsidRPr="003B14E9" w:rsidRDefault="00622402" w:rsidP="00622402">
            <w:pPr>
              <w:pStyle w:val="title-article-norm"/>
              <w:rPr>
                <w:i w:val="0"/>
                <w:sz w:val="18"/>
                <w:szCs w:val="18"/>
                <w:lang w:val="ro-MD"/>
              </w:rPr>
            </w:pPr>
            <w:r w:rsidRPr="003B14E9">
              <w:rPr>
                <w:i w:val="0"/>
                <w:sz w:val="18"/>
                <w:szCs w:val="18"/>
                <w:lang w:val="ro-MD"/>
              </w:rPr>
              <w:t>Compensarea între tranzacțiile efectuate de diferitele entități juridice ale unui grup nu este recunoscută în scopul calculării cerințelor de fonduri proprii.</w:t>
            </w:r>
          </w:p>
        </w:tc>
        <w:tc>
          <w:tcPr>
            <w:tcW w:w="4425" w:type="dxa"/>
            <w:shd w:val="clear" w:color="auto" w:fill="auto"/>
          </w:tcPr>
          <w:p w14:paraId="01B5A556" w14:textId="77777777" w:rsidR="00622402" w:rsidRPr="003B14E9" w:rsidRDefault="00622402" w:rsidP="00622402">
            <w:pPr>
              <w:jc w:val="center"/>
              <w:rPr>
                <w:sz w:val="18"/>
                <w:szCs w:val="18"/>
                <w:lang w:val="ro-MD"/>
              </w:rPr>
            </w:pPr>
            <w:r w:rsidRPr="003B14E9">
              <w:rPr>
                <w:b/>
                <w:bCs/>
                <w:sz w:val="18"/>
                <w:szCs w:val="18"/>
                <w:lang w:val="ro-MD"/>
              </w:rPr>
              <w:lastRenderedPageBreak/>
              <w:t>Capitolul VI</w:t>
            </w:r>
          </w:p>
          <w:p w14:paraId="30948984" w14:textId="77777777" w:rsidR="00622402" w:rsidRPr="003B14E9" w:rsidRDefault="00622402" w:rsidP="00622402">
            <w:pPr>
              <w:jc w:val="center"/>
              <w:rPr>
                <w:sz w:val="18"/>
                <w:szCs w:val="18"/>
                <w:lang w:val="ro-MD"/>
              </w:rPr>
            </w:pPr>
            <w:r w:rsidRPr="003B14E9">
              <w:rPr>
                <w:b/>
                <w:bCs/>
                <w:sz w:val="18"/>
                <w:szCs w:val="18"/>
                <w:lang w:val="ro-MD"/>
              </w:rPr>
              <w:t>COMPENSAREA CONTRACTUALĂ</w:t>
            </w:r>
          </w:p>
          <w:p w14:paraId="4D6C6C6A" w14:textId="77777777" w:rsidR="00622402" w:rsidRPr="003B14E9" w:rsidRDefault="00622402" w:rsidP="00622402">
            <w:pPr>
              <w:jc w:val="center"/>
              <w:rPr>
                <w:sz w:val="18"/>
                <w:szCs w:val="18"/>
                <w:lang w:val="ro-MD"/>
              </w:rPr>
            </w:pPr>
          </w:p>
          <w:p w14:paraId="5387F8B8" w14:textId="77777777" w:rsidR="00622402" w:rsidRPr="003B14E9" w:rsidRDefault="00622402" w:rsidP="00622402">
            <w:pPr>
              <w:jc w:val="center"/>
              <w:rPr>
                <w:sz w:val="18"/>
                <w:szCs w:val="18"/>
                <w:lang w:val="ro-MD"/>
              </w:rPr>
            </w:pPr>
            <w:r w:rsidRPr="003B14E9">
              <w:rPr>
                <w:bCs/>
                <w:i/>
                <w:iCs/>
                <w:sz w:val="18"/>
                <w:szCs w:val="18"/>
                <w:lang w:val="ro-MD"/>
              </w:rPr>
              <w:t>Secţiunea 1</w:t>
            </w:r>
          </w:p>
          <w:p w14:paraId="225D9F5C" w14:textId="77777777" w:rsidR="00622402" w:rsidRPr="003C0E44" w:rsidRDefault="00622402" w:rsidP="00622402">
            <w:pPr>
              <w:ind w:firstLine="567"/>
              <w:jc w:val="center"/>
              <w:rPr>
                <w:sz w:val="18"/>
                <w:szCs w:val="18"/>
                <w:lang w:val="ro-MD" w:eastAsia="en-US"/>
              </w:rPr>
            </w:pPr>
            <w:r w:rsidRPr="003C0E44">
              <w:rPr>
                <w:b/>
                <w:bCs/>
                <w:sz w:val="18"/>
                <w:szCs w:val="18"/>
                <w:lang w:val="ro-MD" w:eastAsia="en-US"/>
              </w:rPr>
              <w:t>Capitolul VI</w:t>
            </w:r>
          </w:p>
          <w:p w14:paraId="7CB75134" w14:textId="77777777" w:rsidR="00622402" w:rsidRPr="003C0E44" w:rsidRDefault="00622402" w:rsidP="00622402">
            <w:pPr>
              <w:ind w:firstLine="567"/>
              <w:jc w:val="center"/>
              <w:rPr>
                <w:sz w:val="18"/>
                <w:szCs w:val="18"/>
                <w:lang w:val="ro-MD" w:eastAsia="en-US"/>
              </w:rPr>
            </w:pPr>
            <w:r w:rsidRPr="003C0E44">
              <w:rPr>
                <w:b/>
                <w:bCs/>
                <w:sz w:val="18"/>
                <w:szCs w:val="18"/>
                <w:lang w:val="ro-MD" w:eastAsia="en-US"/>
              </w:rPr>
              <w:t>COMPENSAREA CONTRACTUALĂ</w:t>
            </w:r>
          </w:p>
          <w:p w14:paraId="1FB32E5B" w14:textId="77777777" w:rsidR="00622402" w:rsidRPr="003C0E44" w:rsidRDefault="00622402" w:rsidP="00622402">
            <w:pPr>
              <w:ind w:firstLine="567"/>
              <w:jc w:val="center"/>
              <w:rPr>
                <w:sz w:val="18"/>
                <w:szCs w:val="18"/>
                <w:lang w:val="ro-MD" w:eastAsia="en-US"/>
              </w:rPr>
            </w:pPr>
            <w:r w:rsidRPr="003C0E44">
              <w:rPr>
                <w:bCs/>
                <w:i/>
                <w:iCs/>
                <w:sz w:val="18"/>
                <w:szCs w:val="18"/>
                <w:lang w:val="ro-MD" w:eastAsia="en-US"/>
              </w:rPr>
              <w:t>Secţiunea 1</w:t>
            </w:r>
          </w:p>
          <w:p w14:paraId="38061347" w14:textId="77777777" w:rsidR="00622402" w:rsidRPr="003C0E44" w:rsidRDefault="00622402" w:rsidP="00622402">
            <w:pPr>
              <w:ind w:firstLine="567"/>
              <w:jc w:val="center"/>
              <w:rPr>
                <w:b/>
                <w:bCs/>
                <w:sz w:val="18"/>
                <w:szCs w:val="18"/>
                <w:lang w:val="ro-MD" w:eastAsia="en-US"/>
              </w:rPr>
            </w:pPr>
            <w:r w:rsidRPr="003C0E44">
              <w:rPr>
                <w:b/>
                <w:bCs/>
                <w:sz w:val="18"/>
                <w:szCs w:val="18"/>
                <w:lang w:val="ro-MD" w:eastAsia="en-US"/>
              </w:rPr>
              <w:t>Recunoaşterea compensării contractuale ca diminuatoare de risc</w:t>
            </w:r>
          </w:p>
          <w:p w14:paraId="5C1E69CD" w14:textId="77777777" w:rsidR="00622402" w:rsidRPr="003C0E44" w:rsidRDefault="00622402" w:rsidP="00622402">
            <w:pPr>
              <w:ind w:firstLine="567"/>
              <w:jc w:val="both"/>
              <w:rPr>
                <w:sz w:val="18"/>
                <w:szCs w:val="18"/>
                <w:lang w:val="ro-MD" w:eastAsia="en-US"/>
              </w:rPr>
            </w:pPr>
            <w:r w:rsidRPr="003C0E44">
              <w:rPr>
                <w:b/>
                <w:bCs/>
                <w:sz w:val="18"/>
                <w:szCs w:val="18"/>
                <w:lang w:val="ro-MD" w:eastAsia="en-US"/>
              </w:rPr>
              <w:lastRenderedPageBreak/>
              <w:t>90.</w:t>
            </w:r>
            <w:r w:rsidRPr="003C0E44">
              <w:rPr>
                <w:sz w:val="18"/>
                <w:szCs w:val="18"/>
                <w:lang w:val="ro-MD" w:eastAsia="en-US"/>
              </w:rPr>
              <w:t xml:space="preserve"> Băncile tratează numai următoarele tipuri de acorduri de compensare contractuală ca fiind diminuatoare de risc în conformitate cu secţiunea a 4-a din prezentul capitol, dacă acordul de compensare a fost recunoscut de Banca Naţională a Moldovei în conformitate cu secţiunea a 2-a din prezentul capitol şi dacă banca îndeplineşte cerinţele stabilite la secţiunea a 3-a din prezentul capitol:</w:t>
            </w:r>
          </w:p>
          <w:p w14:paraId="15CDC39A" w14:textId="77777777" w:rsidR="00622402" w:rsidRPr="003C0E44" w:rsidRDefault="00622402" w:rsidP="00622402">
            <w:pPr>
              <w:ind w:firstLine="567"/>
              <w:jc w:val="both"/>
              <w:rPr>
                <w:sz w:val="18"/>
                <w:szCs w:val="18"/>
                <w:lang w:val="ro-MD" w:eastAsia="en-US"/>
              </w:rPr>
            </w:pPr>
            <w:r w:rsidRPr="003C0E44">
              <w:rPr>
                <w:sz w:val="18"/>
                <w:szCs w:val="18"/>
                <w:lang w:val="ro-MD" w:eastAsia="en-US"/>
              </w:rPr>
              <w:t>1) contractele bilaterale de novaţie între bancă şi contrapartea sa, în temeiul cărora creanţele şi datoriile reciproce sunt automat comasate în aşa fel încât novaţia stabileşte, de fiecare dată când se aplică, o singură sumă netă astfel încât să creeze un singur contract nou care înlocuieşte toate contractele anterioare şi toate obligaţiile între părţi decurgând din aceste contracte şi care este obligatoriu pentru părţi;</w:t>
            </w:r>
          </w:p>
          <w:p w14:paraId="11D5B487" w14:textId="77777777" w:rsidR="00622402" w:rsidRPr="003C0E44" w:rsidRDefault="00622402" w:rsidP="00622402">
            <w:pPr>
              <w:ind w:firstLine="567"/>
              <w:jc w:val="both"/>
              <w:rPr>
                <w:sz w:val="18"/>
                <w:szCs w:val="18"/>
                <w:lang w:val="ro-MD" w:eastAsia="en-US"/>
              </w:rPr>
            </w:pPr>
            <w:r w:rsidRPr="003C0E44">
              <w:rPr>
                <w:sz w:val="18"/>
                <w:szCs w:val="18"/>
                <w:lang w:val="ro-MD" w:eastAsia="en-US"/>
              </w:rPr>
              <w:t>2) alte contracte bilaterale (decât cele indicate la subpunctul 1)) între bancă şi contrapartea sa.</w:t>
            </w:r>
          </w:p>
          <w:p w14:paraId="4E7B60C1" w14:textId="77777777" w:rsidR="00622402" w:rsidRPr="003C0E44" w:rsidRDefault="00622402" w:rsidP="00622402">
            <w:pPr>
              <w:ind w:firstLine="567"/>
              <w:jc w:val="both"/>
              <w:rPr>
                <w:sz w:val="18"/>
                <w:szCs w:val="18"/>
                <w:lang w:val="ro-MD" w:eastAsia="en-US"/>
              </w:rPr>
            </w:pPr>
            <w:r w:rsidRPr="003C0E44">
              <w:rPr>
                <w:b/>
                <w:bCs/>
                <w:sz w:val="18"/>
                <w:szCs w:val="18"/>
                <w:lang w:val="ro-MD" w:eastAsia="en-US"/>
              </w:rPr>
              <w:t>91.</w:t>
            </w:r>
            <w:r w:rsidRPr="003C0E44">
              <w:rPr>
                <w:sz w:val="18"/>
                <w:szCs w:val="18"/>
                <w:lang w:val="ro-MD" w:eastAsia="en-US"/>
              </w:rPr>
              <w:t xml:space="preserve"> Compensarea tranzacţiilor efectuate de persoane juridice ale unui grup nu este recunoscută în scopul calculării cerinţelor de fonduri proprii.</w:t>
            </w:r>
          </w:p>
          <w:p w14:paraId="751D3A42"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7D50E983" w14:textId="6E3BB16A" w:rsidR="00622402" w:rsidRPr="003B14E9" w:rsidRDefault="00622402" w:rsidP="00622402">
            <w:pPr>
              <w:jc w:val="both"/>
              <w:rPr>
                <w:sz w:val="18"/>
                <w:szCs w:val="18"/>
                <w:lang w:val="ro-MD"/>
              </w:rPr>
            </w:pPr>
            <w:r w:rsidRPr="003B14E9">
              <w:rPr>
                <w:sz w:val="18"/>
                <w:szCs w:val="18"/>
                <w:lang w:val="ro-MD"/>
              </w:rPr>
              <w:lastRenderedPageBreak/>
              <w:t>Parțial compatibil</w:t>
            </w:r>
          </w:p>
        </w:tc>
        <w:tc>
          <w:tcPr>
            <w:tcW w:w="3041" w:type="dxa"/>
          </w:tcPr>
          <w:p w14:paraId="241B4A64" w14:textId="03121F88" w:rsidR="00622402" w:rsidRPr="003B14E9" w:rsidRDefault="00622402" w:rsidP="00622402">
            <w:pPr>
              <w:rPr>
                <w:sz w:val="18"/>
                <w:szCs w:val="18"/>
                <w:lang w:val="ro-MD"/>
              </w:rPr>
            </w:pPr>
            <w:r w:rsidRPr="003B14E9">
              <w:rPr>
                <w:sz w:val="18"/>
                <w:szCs w:val="18"/>
                <w:lang w:val="ro-MD"/>
              </w:rPr>
              <w:t xml:space="preserve">Litera (c) nu a fost transpusă, deoarece prevede acordurile de compensare contractuală între produse diferite, în cazul instituțiilor care aplica metoda modelului intern, care va fi transpus la o etapă ulterioară în reglementările ce țin de abordarea IRB.   </w:t>
            </w:r>
          </w:p>
        </w:tc>
        <w:tc>
          <w:tcPr>
            <w:tcW w:w="1055" w:type="dxa"/>
            <w:tcBorders>
              <w:top w:val="single" w:sz="4" w:space="0" w:color="auto"/>
              <w:bottom w:val="single" w:sz="4" w:space="0" w:color="auto"/>
            </w:tcBorders>
          </w:tcPr>
          <w:p w14:paraId="4601A549"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482EBBE2" w14:textId="77777777" w:rsidR="00622402" w:rsidRPr="003B14E9" w:rsidRDefault="00622402" w:rsidP="00622402">
            <w:pPr>
              <w:jc w:val="both"/>
              <w:rPr>
                <w:sz w:val="18"/>
                <w:szCs w:val="18"/>
                <w:lang w:val="ro-MD"/>
              </w:rPr>
            </w:pPr>
          </w:p>
        </w:tc>
      </w:tr>
      <w:tr w:rsidR="00622402" w:rsidRPr="003B14E9" w14:paraId="3ABB6CB5" w14:textId="77777777" w:rsidTr="00604EF1">
        <w:trPr>
          <w:trHeight w:val="918"/>
        </w:trPr>
        <w:tc>
          <w:tcPr>
            <w:tcW w:w="4473" w:type="dxa"/>
          </w:tcPr>
          <w:p w14:paraId="3E72897E" w14:textId="77777777" w:rsidR="00622402" w:rsidRPr="003B14E9" w:rsidRDefault="00622402" w:rsidP="00622402">
            <w:pPr>
              <w:pStyle w:val="title-article-norm"/>
              <w:rPr>
                <w:i w:val="0"/>
                <w:sz w:val="18"/>
                <w:szCs w:val="18"/>
                <w:lang w:val="ro-MD"/>
              </w:rPr>
            </w:pPr>
            <w:r w:rsidRPr="003B14E9">
              <w:rPr>
                <w:sz w:val="18"/>
                <w:szCs w:val="18"/>
                <w:lang w:val="ro-MD"/>
              </w:rPr>
              <w:t>Articolul 296</w:t>
            </w:r>
            <w:r w:rsidRPr="003B14E9">
              <w:rPr>
                <w:i w:val="0"/>
                <w:sz w:val="18"/>
                <w:szCs w:val="18"/>
                <w:lang w:val="ro-MD"/>
              </w:rPr>
              <w:t xml:space="preserve"> </w:t>
            </w:r>
            <w:r w:rsidRPr="003B14E9">
              <w:rPr>
                <w:b/>
                <w:i w:val="0"/>
                <w:sz w:val="18"/>
                <w:szCs w:val="18"/>
                <w:lang w:val="ro-MD"/>
              </w:rPr>
              <w:t>Recunoașterea acordurilor de compensare contractuală</w:t>
            </w:r>
            <w:r w:rsidRPr="003B14E9">
              <w:rPr>
                <w:i w:val="0"/>
                <w:sz w:val="18"/>
                <w:szCs w:val="18"/>
                <w:lang w:val="ro-MD"/>
              </w:rPr>
              <w:t xml:space="preserve"> </w:t>
            </w:r>
          </w:p>
          <w:p w14:paraId="4B117D9D"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(1) Autoritățile competente recunosc un acord de compensare contractuală numai dacă sunt îndeplinite </w:t>
            </w:r>
            <w:r w:rsidRPr="003B14E9">
              <w:rPr>
                <w:i w:val="0"/>
                <w:sz w:val="18"/>
                <w:szCs w:val="18"/>
                <w:lang w:val="ro-MD"/>
              </w:rPr>
              <w:lastRenderedPageBreak/>
              <w:t xml:space="preserve">condițiile prevăzute la alineatul (2) și, după caz, la alineatul (3). </w:t>
            </w:r>
          </w:p>
          <w:p w14:paraId="790CDDE0"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(2) Toate acordurile de compensare contractuală utilizate de o instituție pentru a determina valoarea expunerii în cadrul acestei părți trebuie să îndeplinească următoarele condiții: </w:t>
            </w:r>
          </w:p>
          <w:p w14:paraId="7DA8E583" w14:textId="77777777" w:rsidR="00622402" w:rsidRPr="003B14E9" w:rsidRDefault="00622402" w:rsidP="00622402">
            <w:pPr>
              <w:pStyle w:val="title-article-norm"/>
              <w:jc w:val="both"/>
              <w:rPr>
                <w:i w:val="0"/>
                <w:sz w:val="18"/>
                <w:szCs w:val="18"/>
                <w:lang w:val="ro-MD"/>
              </w:rPr>
            </w:pPr>
            <w:r w:rsidRPr="003B14E9">
              <w:rPr>
                <w:i w:val="0"/>
                <w:sz w:val="18"/>
                <w:szCs w:val="18"/>
                <w:lang w:val="ro-MD"/>
              </w:rPr>
              <w:t>(a) instituția a încheiat un acord de compensare contractuală cu contrapartea sa, care creează o singură obligație juridică acoperind toate tranzacțiile incluse, astfel încât, în cazul în care contrapartea ar intra în stare de nerambursare, instituția ar avea dreptul să primească sau ar fi obligată să plătească numai suma netă a valorilor pozitive și negative marcate la piață ale tranzacțiilor individuale incluse;</w:t>
            </w:r>
          </w:p>
          <w:p w14:paraId="5379DEA1"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(b) instituția a pus la dispoziția autorităților competente opinii juridice scrise, fundamentate, în care se precizează că, în cazul contestării în instanță a acordului de compensare, creanțele și datoriile instituției nu ar depăși cele menționate la litera (a). Opinia juridică trebuie să se refere la legislația aplicabilă: </w:t>
            </w:r>
          </w:p>
          <w:p w14:paraId="055EB310"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(i) în jurisdicția în care este înregistrată contrapartea; </w:t>
            </w:r>
          </w:p>
          <w:p w14:paraId="1D0827DC"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(ii) dacă este implicată o sucursală a unei întreprinderi, care este situată în altă țară decât cea în care este înregistrată întreprinderea, în jurisdicția în care este situată sucursala; </w:t>
            </w:r>
          </w:p>
          <w:p w14:paraId="5CEDDB7E"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(iii) în jurisdicția ale cărei legi guvernează tranzacțiile individuale incluse în acordul de compensare; </w:t>
            </w:r>
          </w:p>
          <w:p w14:paraId="2C0A4FEF" w14:textId="77777777" w:rsidR="00622402" w:rsidRPr="003B14E9" w:rsidRDefault="00622402" w:rsidP="00622402">
            <w:pPr>
              <w:pStyle w:val="title-article-norm"/>
              <w:jc w:val="both"/>
              <w:rPr>
                <w:i w:val="0"/>
                <w:sz w:val="18"/>
                <w:szCs w:val="18"/>
                <w:lang w:val="ro-MD"/>
              </w:rPr>
            </w:pPr>
            <w:r w:rsidRPr="003B14E9">
              <w:rPr>
                <w:i w:val="0"/>
                <w:sz w:val="18"/>
                <w:szCs w:val="18"/>
                <w:lang w:val="ro-MD"/>
              </w:rPr>
              <w:t>(iv) în jurisdicția ale cărei legi guvernează orice contract sau acord necesar efectuării compensării contractuale;</w:t>
            </w:r>
          </w:p>
          <w:p w14:paraId="22A95187" w14:textId="77777777" w:rsidR="00622402" w:rsidRPr="003B14E9" w:rsidRDefault="00622402" w:rsidP="00622402">
            <w:pPr>
              <w:pStyle w:val="title-article-norm"/>
              <w:jc w:val="both"/>
              <w:rPr>
                <w:i w:val="0"/>
                <w:sz w:val="18"/>
                <w:szCs w:val="18"/>
                <w:lang w:val="ro-MD"/>
              </w:rPr>
            </w:pPr>
            <w:r w:rsidRPr="003B14E9">
              <w:rPr>
                <w:i w:val="0"/>
                <w:sz w:val="18"/>
                <w:szCs w:val="18"/>
                <w:lang w:val="ro-MD"/>
              </w:rPr>
              <w:lastRenderedPageBreak/>
              <w:t xml:space="preserve">(c) riscul de credit față de fiecare contraparte este agregat pentru a obține o singură expunere din punct de vedere juridic pentru toate tranzacțiile cu contrapartea respectivă. Această agregare se ia în considerare pentru scopurile limitei de creditare și ale capitalului intern; </w:t>
            </w:r>
          </w:p>
          <w:p w14:paraId="54A96961"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(d) contractul nu conține nicio clauză care, în cazul intrării unei contrapărți în stare de nerambursare, permite unei contrapărți care nu se află în stare de nerambursare să efectueze numai plăți limitate sau să nu efectueze nicio plată în favoarea contrapărții aflate în stare de nerambursare, chiar dacă aceasta din urmă este un creditor net [de exemplu, o clauză de retragere (clauză de tip „walk-away”)]. </w:t>
            </w:r>
          </w:p>
          <w:p w14:paraId="023C9711"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Dacă una dintre autoritățile competente nu primește dovezi satisfăcătoare potrivit cărora compensarea contractuală este valabilă și executorie din punct de vedere juridic, în temeiul legislației fiecăreia dintre jurisdicțiile menționate la litera (b), acordul de compensare contractuală nu este recunoscut ca diminuator de risc pentru niciuna dintre contrapărți. Autoritățile competente se informează reciproc în această privință. </w:t>
            </w:r>
          </w:p>
          <w:p w14:paraId="697C1F12"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(3) Opiniile juridice menționate la litera (b) pot fi redactate cu referire la tipurile de compensare contractuală. Acordurile de compensare contractuală între produse diferite trebuie să îndeplinească următoarele condiții suplimentare: </w:t>
            </w:r>
          </w:p>
          <w:p w14:paraId="59C0E2B6" w14:textId="77777777" w:rsidR="00622402" w:rsidRPr="003B14E9" w:rsidRDefault="00622402" w:rsidP="00622402">
            <w:pPr>
              <w:pStyle w:val="title-article-norm"/>
              <w:jc w:val="both"/>
              <w:rPr>
                <w:i w:val="0"/>
                <w:sz w:val="18"/>
                <w:szCs w:val="18"/>
                <w:lang w:val="ro-MD"/>
              </w:rPr>
            </w:pPr>
            <w:r w:rsidRPr="003B14E9">
              <w:rPr>
                <w:i w:val="0"/>
                <w:sz w:val="18"/>
                <w:szCs w:val="18"/>
                <w:lang w:val="ro-MD"/>
              </w:rPr>
              <w:t>(a) suma netă menționată la alineatul (2) litera (a) este suma netă a valorilor de închidere pozitive și negative ale oricărui acord-cadru bilateral individual inclus și a valorilor pozitive și negative marcate la piață ale tranzacțiilor individuale („cuantumul net pentru toate produsele”);</w:t>
            </w:r>
          </w:p>
          <w:p w14:paraId="46BCCB33" w14:textId="57C6438C" w:rsidR="00622402" w:rsidRPr="003B14E9" w:rsidRDefault="00622402" w:rsidP="00622402">
            <w:pPr>
              <w:pStyle w:val="title-article-norm"/>
              <w:jc w:val="left"/>
              <w:rPr>
                <w:i w:val="0"/>
                <w:sz w:val="18"/>
                <w:szCs w:val="18"/>
                <w:lang w:val="ro-MD"/>
              </w:rPr>
            </w:pPr>
            <w:r w:rsidRPr="003B14E9">
              <w:rPr>
                <w:i w:val="0"/>
                <w:sz w:val="18"/>
                <w:szCs w:val="18"/>
                <w:lang w:val="ro-MD"/>
              </w:rPr>
              <w:lastRenderedPageBreak/>
              <w:t>(b) opiniile juridice menționate la alineatul (2) litera (b) se referă la valabilitatea și la caracterul executoriu ale întregului acord de compensare contractuală între produse diferite în conformitate cu termenii săi și la impactul acordului de compensare asupra dispozițiilor relevante ale oricărui acord-cadru bilateral individual inclus.</w:t>
            </w:r>
          </w:p>
        </w:tc>
        <w:tc>
          <w:tcPr>
            <w:tcW w:w="4425" w:type="dxa"/>
            <w:shd w:val="clear" w:color="auto" w:fill="auto"/>
          </w:tcPr>
          <w:p w14:paraId="6C1A2D1F" w14:textId="77777777" w:rsidR="00622402" w:rsidRPr="003B14E9" w:rsidRDefault="00622402" w:rsidP="00622402">
            <w:pPr>
              <w:ind w:firstLine="567"/>
              <w:jc w:val="center"/>
              <w:rPr>
                <w:sz w:val="18"/>
                <w:szCs w:val="18"/>
                <w:lang w:val="ro-MD"/>
              </w:rPr>
            </w:pPr>
            <w:bookmarkStart w:id="4" w:name="_Hlk162995099"/>
            <w:r w:rsidRPr="003B14E9">
              <w:rPr>
                <w:bCs/>
                <w:i/>
                <w:iCs/>
                <w:sz w:val="18"/>
                <w:szCs w:val="18"/>
                <w:lang w:val="ro-MD"/>
              </w:rPr>
              <w:lastRenderedPageBreak/>
              <w:t>Secţiunea a 2-a</w:t>
            </w:r>
          </w:p>
          <w:bookmarkEnd w:id="4"/>
          <w:p w14:paraId="4341E13E" w14:textId="77777777" w:rsidR="00622402" w:rsidRPr="003B14E9" w:rsidRDefault="00622402" w:rsidP="00622402">
            <w:pPr>
              <w:ind w:firstLine="567"/>
              <w:jc w:val="center"/>
              <w:rPr>
                <w:b/>
                <w:bCs/>
                <w:sz w:val="18"/>
                <w:szCs w:val="18"/>
                <w:lang w:val="ro-MD"/>
              </w:rPr>
            </w:pPr>
            <w:r w:rsidRPr="003B14E9">
              <w:rPr>
                <w:b/>
                <w:bCs/>
                <w:sz w:val="18"/>
                <w:szCs w:val="18"/>
                <w:lang w:val="ro-MD"/>
              </w:rPr>
              <w:t>Recunoaşterea acordurilor de compensare contractuală</w:t>
            </w:r>
          </w:p>
          <w:p w14:paraId="516ADF6A" w14:textId="77777777" w:rsidR="00622402" w:rsidRPr="003B14E9" w:rsidRDefault="00622402" w:rsidP="00622402">
            <w:pPr>
              <w:jc w:val="both"/>
              <w:rPr>
                <w:sz w:val="18"/>
                <w:szCs w:val="18"/>
                <w:lang w:val="ro-MD"/>
              </w:rPr>
            </w:pPr>
            <w:r w:rsidRPr="003B14E9">
              <w:rPr>
                <w:b/>
                <w:bCs/>
                <w:sz w:val="18"/>
                <w:szCs w:val="18"/>
                <w:lang w:val="ro-MD"/>
              </w:rPr>
              <w:t>92.</w:t>
            </w:r>
            <w:r w:rsidRPr="003B14E9">
              <w:rPr>
                <w:sz w:val="18"/>
                <w:szCs w:val="18"/>
                <w:lang w:val="ro-MD"/>
              </w:rPr>
              <w:t xml:space="preserve"> Toate acordurile de compensare contractuală utilizate de bancă pentru a determina valoarea expunerii în cadrul acestei părţi trebuie să îndeplinească următoarele condiţii:</w:t>
            </w:r>
          </w:p>
          <w:p w14:paraId="0C09C1D3" w14:textId="77777777" w:rsidR="00622402" w:rsidRPr="003B14E9" w:rsidRDefault="00622402" w:rsidP="00622402">
            <w:pPr>
              <w:jc w:val="both"/>
              <w:rPr>
                <w:sz w:val="18"/>
                <w:szCs w:val="18"/>
                <w:lang w:val="ro-MD"/>
              </w:rPr>
            </w:pPr>
            <w:r w:rsidRPr="003B14E9">
              <w:rPr>
                <w:sz w:val="18"/>
                <w:szCs w:val="18"/>
                <w:lang w:val="ro-MD"/>
              </w:rPr>
              <w:lastRenderedPageBreak/>
              <w:t>1) banca a încheiat un acord de compensare contractuală cu contrapartea sa, care creează o singură obligaţie juridică acoperind toate tranzacţiile incluse, astfel încât în cazul în care contrapartea ar intra în stare de nerambursare, banca ar avea dreptul să primească sau ar fi obligată să plătească numai suma netă a valorilor pozitive şi negative marcate la piaţă ale tranzacţiilor individuale incluse;</w:t>
            </w:r>
          </w:p>
          <w:p w14:paraId="6D5D66BC" w14:textId="77777777" w:rsidR="00622402" w:rsidRPr="003B14E9" w:rsidRDefault="00622402" w:rsidP="00622402">
            <w:pPr>
              <w:jc w:val="both"/>
              <w:rPr>
                <w:sz w:val="18"/>
                <w:szCs w:val="18"/>
                <w:lang w:val="ro-MD"/>
              </w:rPr>
            </w:pPr>
            <w:r w:rsidRPr="003B14E9">
              <w:rPr>
                <w:sz w:val="18"/>
                <w:szCs w:val="18"/>
                <w:lang w:val="ro-MD"/>
              </w:rPr>
              <w:t>2) banca dispune de opinii juridice scrise, fundamentate, în care se precizează că, în cazul contestării în instanţă a acordului de compensare, creanţele şi datoriile băncii nu ar depăşi cele menţionate la subpunctul 1).</w:t>
            </w:r>
          </w:p>
          <w:p w14:paraId="333B2525" w14:textId="77777777" w:rsidR="00622402" w:rsidRPr="003B14E9" w:rsidRDefault="00622402" w:rsidP="00622402">
            <w:pPr>
              <w:jc w:val="both"/>
              <w:rPr>
                <w:sz w:val="18"/>
                <w:szCs w:val="18"/>
                <w:lang w:val="ro-MD"/>
              </w:rPr>
            </w:pPr>
            <w:r w:rsidRPr="003B14E9">
              <w:rPr>
                <w:sz w:val="18"/>
                <w:szCs w:val="18"/>
                <w:lang w:val="ro-MD"/>
              </w:rPr>
              <w:t>Opinia juridică trebuie să se refere la legislaţia aplicabilă:</w:t>
            </w:r>
          </w:p>
          <w:p w14:paraId="7F0CD72D" w14:textId="77777777" w:rsidR="00622402" w:rsidRPr="003B14E9" w:rsidRDefault="00622402" w:rsidP="00622402">
            <w:pPr>
              <w:jc w:val="both"/>
              <w:rPr>
                <w:sz w:val="18"/>
                <w:szCs w:val="18"/>
                <w:lang w:val="ro-MD"/>
              </w:rPr>
            </w:pPr>
            <w:r w:rsidRPr="003B14E9">
              <w:rPr>
                <w:sz w:val="18"/>
                <w:szCs w:val="18"/>
                <w:lang w:val="ro-MD"/>
              </w:rPr>
              <w:t>a) în jurisdicţia în care este înregistrată contrapartea;</w:t>
            </w:r>
          </w:p>
          <w:p w14:paraId="2AA7D847" w14:textId="77777777" w:rsidR="00622402" w:rsidRPr="003B14E9" w:rsidRDefault="00622402" w:rsidP="00622402">
            <w:pPr>
              <w:jc w:val="both"/>
              <w:rPr>
                <w:sz w:val="18"/>
                <w:szCs w:val="18"/>
                <w:lang w:val="ro-MD"/>
              </w:rPr>
            </w:pPr>
            <w:r w:rsidRPr="003B14E9">
              <w:rPr>
                <w:sz w:val="18"/>
                <w:szCs w:val="18"/>
                <w:lang w:val="ro-MD"/>
              </w:rPr>
              <w:t>b) dacă este implicată o sucursală a unei contrapărţi, care este situată în altă ţară decât cea în care este înregistrată contrapartea, în jurisdicţia în care este situată sucursala;</w:t>
            </w:r>
          </w:p>
          <w:p w14:paraId="0420EA3F" w14:textId="77777777" w:rsidR="00622402" w:rsidRPr="003B14E9" w:rsidRDefault="00622402" w:rsidP="00622402">
            <w:pPr>
              <w:jc w:val="both"/>
              <w:rPr>
                <w:sz w:val="18"/>
                <w:szCs w:val="18"/>
                <w:lang w:val="ro-MD"/>
              </w:rPr>
            </w:pPr>
            <w:r w:rsidRPr="003B14E9">
              <w:rPr>
                <w:sz w:val="18"/>
                <w:szCs w:val="18"/>
                <w:lang w:val="ro-MD"/>
              </w:rPr>
              <w:t>c) în jurisdicţia a cărei legislaţie guvernează tranzacţiile individuale incluse în acordul de compensare;</w:t>
            </w:r>
          </w:p>
          <w:p w14:paraId="7DC72D2D" w14:textId="77777777" w:rsidR="00622402" w:rsidRPr="003B14E9" w:rsidRDefault="00622402" w:rsidP="00622402">
            <w:pPr>
              <w:jc w:val="both"/>
              <w:rPr>
                <w:sz w:val="18"/>
                <w:szCs w:val="18"/>
                <w:lang w:val="ro-MD"/>
              </w:rPr>
            </w:pPr>
            <w:r w:rsidRPr="003B14E9">
              <w:rPr>
                <w:sz w:val="18"/>
                <w:szCs w:val="18"/>
                <w:lang w:val="ro-MD"/>
              </w:rPr>
              <w:t>d) în jurisdicţia a cărei legislaţie guvernează orice contract sau acord necesar efectuării compensării contractuale;</w:t>
            </w:r>
          </w:p>
          <w:p w14:paraId="5D1D23B0" w14:textId="77777777" w:rsidR="00622402" w:rsidRPr="003B14E9" w:rsidRDefault="00622402" w:rsidP="00622402">
            <w:pPr>
              <w:jc w:val="both"/>
              <w:rPr>
                <w:sz w:val="18"/>
                <w:szCs w:val="18"/>
                <w:lang w:val="ro-MD"/>
              </w:rPr>
            </w:pPr>
            <w:r w:rsidRPr="003B14E9">
              <w:rPr>
                <w:sz w:val="18"/>
                <w:szCs w:val="18"/>
                <w:lang w:val="ro-MD"/>
              </w:rPr>
              <w:t>3) riscul de credit faţă de fiecare contraparte este agregat pentru a obţine o singură expunere din punct de vedere juridic pentru toate tranzacţiile cu contrapartea respectivă. Această agregare trebuie să se ia în considerare pentru scopurile limitei de creditare şi ale capitalului intern;</w:t>
            </w:r>
          </w:p>
          <w:p w14:paraId="41EEF905" w14:textId="77777777" w:rsidR="00622402" w:rsidRPr="003B14E9" w:rsidRDefault="00622402" w:rsidP="00622402">
            <w:pPr>
              <w:ind w:hanging="5"/>
              <w:jc w:val="both"/>
              <w:rPr>
                <w:sz w:val="18"/>
                <w:szCs w:val="18"/>
                <w:lang w:val="ro-MD"/>
              </w:rPr>
            </w:pPr>
            <w:r w:rsidRPr="003B14E9">
              <w:rPr>
                <w:sz w:val="18"/>
                <w:szCs w:val="18"/>
                <w:lang w:val="ro-MD"/>
              </w:rPr>
              <w:t>4) contractul nu conţine nicio clauză care, în cazul intrării unei contrapărţi în stare de nerambursare, permite unei contrapărţi care nu se află în stare de nerambursare să efectueze numai plăţi limitate sau să nu efectueze nicio plată în favoarea contrapărţii aflate în stare de nerambursare, chiar dacă aceasta din urmă este un creditor net.</w:t>
            </w:r>
          </w:p>
          <w:p w14:paraId="07D405BE" w14:textId="77777777" w:rsidR="00622402" w:rsidRPr="003B14E9" w:rsidRDefault="00622402" w:rsidP="00622402">
            <w:pPr>
              <w:ind w:hanging="5"/>
              <w:jc w:val="both"/>
              <w:rPr>
                <w:sz w:val="18"/>
                <w:szCs w:val="18"/>
                <w:lang w:val="ro-MD"/>
              </w:rPr>
            </w:pPr>
            <w:r w:rsidRPr="003B14E9">
              <w:rPr>
                <w:b/>
                <w:bCs/>
                <w:sz w:val="18"/>
                <w:szCs w:val="18"/>
                <w:lang w:val="ro-MD"/>
              </w:rPr>
              <w:t>93.</w:t>
            </w:r>
            <w:r w:rsidRPr="003B14E9">
              <w:rPr>
                <w:sz w:val="18"/>
                <w:szCs w:val="18"/>
                <w:lang w:val="ro-MD"/>
              </w:rPr>
              <w:t xml:space="preserve"> Dacă Banca Naţională a Moldovei, în cazul procesului de supraveghere, nu primeşte dovezi satisfăcătoare potrivit cărora este convinsă că compensarea contractuală este </w:t>
            </w:r>
            <w:r w:rsidRPr="003B14E9">
              <w:rPr>
                <w:sz w:val="18"/>
                <w:szCs w:val="18"/>
                <w:lang w:val="ro-MD"/>
              </w:rPr>
              <w:lastRenderedPageBreak/>
              <w:t>valabilă şi executorie din punct de vedere juridic, în temeiul legislaţiei fiecăreia dintre jurisdicţiile menţionate la punctul 92 subpunctul 2), acordul de compensare contractuală nu este recunoscut ca diminuator de risc pentru niciuna dintre contrapărţi.</w:t>
            </w:r>
          </w:p>
          <w:p w14:paraId="6BED0417" w14:textId="77777777" w:rsidR="00622402" w:rsidRPr="003B14E9" w:rsidRDefault="00622402" w:rsidP="00622402">
            <w:pPr>
              <w:ind w:hanging="5"/>
              <w:jc w:val="both"/>
              <w:rPr>
                <w:sz w:val="18"/>
                <w:szCs w:val="18"/>
                <w:lang w:val="ro-MD"/>
              </w:rPr>
            </w:pPr>
            <w:r w:rsidRPr="003B14E9">
              <w:rPr>
                <w:sz w:val="18"/>
                <w:szCs w:val="18"/>
                <w:lang w:val="ro-MD"/>
              </w:rPr>
              <w:t> Opiniile juridice menționate la punctul 92 subpunctul 2) pot fi redactate cu referire la tipurile de compensare contractuală.</w:t>
            </w:r>
          </w:p>
          <w:p w14:paraId="53CC466F"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5EB6E12C" w14:textId="7EC2DDCA" w:rsidR="00622402" w:rsidRPr="003B14E9" w:rsidRDefault="00622402" w:rsidP="00622402">
            <w:pPr>
              <w:jc w:val="both"/>
              <w:rPr>
                <w:sz w:val="18"/>
                <w:szCs w:val="18"/>
                <w:lang w:val="ro-MD"/>
              </w:rPr>
            </w:pPr>
            <w:r w:rsidRPr="00755D83">
              <w:rPr>
                <w:sz w:val="18"/>
                <w:szCs w:val="18"/>
                <w:lang w:val="ro-MD"/>
              </w:rPr>
              <w:lastRenderedPageBreak/>
              <w:t>Parțial compatibil</w:t>
            </w:r>
          </w:p>
        </w:tc>
        <w:tc>
          <w:tcPr>
            <w:tcW w:w="3041" w:type="dxa"/>
          </w:tcPr>
          <w:p w14:paraId="28E92E73" w14:textId="14C37CE8" w:rsidR="00622402" w:rsidRPr="003B14E9" w:rsidRDefault="00622402" w:rsidP="00622402">
            <w:pPr>
              <w:rPr>
                <w:sz w:val="18"/>
                <w:szCs w:val="18"/>
                <w:lang w:val="ro-MD"/>
              </w:rPr>
            </w:pPr>
            <w:r w:rsidRPr="003B14E9">
              <w:rPr>
                <w:sz w:val="18"/>
                <w:szCs w:val="18"/>
                <w:lang w:val="ro-RO"/>
              </w:rPr>
              <w:t>Va fi transpus la o etapă ulterioară – în funcție de necesitatea prevederilor respective.</w:t>
            </w:r>
          </w:p>
        </w:tc>
        <w:tc>
          <w:tcPr>
            <w:tcW w:w="1055" w:type="dxa"/>
            <w:tcBorders>
              <w:top w:val="single" w:sz="4" w:space="0" w:color="auto"/>
              <w:bottom w:val="single" w:sz="4" w:space="0" w:color="auto"/>
            </w:tcBorders>
          </w:tcPr>
          <w:p w14:paraId="14A7C6F9"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03890618" w14:textId="77777777" w:rsidR="00622402" w:rsidRPr="003B14E9" w:rsidRDefault="00622402" w:rsidP="00622402">
            <w:pPr>
              <w:jc w:val="both"/>
              <w:rPr>
                <w:sz w:val="18"/>
                <w:szCs w:val="18"/>
                <w:lang w:val="ro-MD"/>
              </w:rPr>
            </w:pPr>
          </w:p>
        </w:tc>
      </w:tr>
      <w:tr w:rsidR="00622402" w:rsidRPr="003B14E9" w14:paraId="27243F32" w14:textId="77777777" w:rsidTr="00604EF1">
        <w:trPr>
          <w:trHeight w:val="918"/>
        </w:trPr>
        <w:tc>
          <w:tcPr>
            <w:tcW w:w="4473" w:type="dxa"/>
          </w:tcPr>
          <w:p w14:paraId="4C0A4FD3" w14:textId="77777777" w:rsidR="00622402" w:rsidRPr="003B14E9" w:rsidRDefault="00622402" w:rsidP="00622402">
            <w:pPr>
              <w:pStyle w:val="title-article-norm"/>
              <w:jc w:val="both"/>
              <w:rPr>
                <w:i w:val="0"/>
                <w:sz w:val="18"/>
                <w:szCs w:val="18"/>
              </w:rPr>
            </w:pPr>
            <w:r w:rsidRPr="003B14E9">
              <w:rPr>
                <w:sz w:val="18"/>
                <w:szCs w:val="18"/>
              </w:rPr>
              <w:lastRenderedPageBreak/>
              <w:t>Articolul 297</w:t>
            </w:r>
            <w:r w:rsidRPr="003B14E9">
              <w:rPr>
                <w:i w:val="0"/>
                <w:sz w:val="18"/>
                <w:szCs w:val="18"/>
              </w:rPr>
              <w:t xml:space="preserve"> </w:t>
            </w:r>
            <w:r w:rsidRPr="003B14E9">
              <w:rPr>
                <w:b/>
                <w:i w:val="0"/>
                <w:sz w:val="18"/>
                <w:szCs w:val="18"/>
              </w:rPr>
              <w:t>Obligațiile instituțiilor</w:t>
            </w:r>
            <w:r w:rsidRPr="003B14E9">
              <w:rPr>
                <w:i w:val="0"/>
                <w:sz w:val="18"/>
                <w:szCs w:val="18"/>
              </w:rPr>
              <w:t xml:space="preserve"> </w:t>
            </w:r>
          </w:p>
          <w:p w14:paraId="42A51ED4" w14:textId="77777777" w:rsidR="00622402" w:rsidRPr="003B14E9" w:rsidRDefault="00622402" w:rsidP="00622402">
            <w:pPr>
              <w:pStyle w:val="title-article-norm"/>
              <w:jc w:val="left"/>
              <w:rPr>
                <w:i w:val="0"/>
                <w:sz w:val="18"/>
                <w:szCs w:val="18"/>
                <w:lang w:val="ro-MD"/>
              </w:rPr>
            </w:pPr>
            <w:r w:rsidRPr="003B14E9">
              <w:rPr>
                <w:i w:val="0"/>
                <w:sz w:val="18"/>
                <w:szCs w:val="18"/>
              </w:rPr>
              <w:t xml:space="preserve">(1) O instituție </w:t>
            </w:r>
            <w:r w:rsidRPr="003B14E9">
              <w:rPr>
                <w:i w:val="0"/>
                <w:sz w:val="18"/>
                <w:szCs w:val="18"/>
                <w:lang w:val="ro-MD"/>
              </w:rPr>
              <w:t>stabilește și menține proceduri pentru a asigura reexaminarea, în lumina modificărilor legislațiilor</w:t>
            </w:r>
            <w:r w:rsidRPr="003B14E9">
              <w:rPr>
                <w:i w:val="0"/>
                <w:sz w:val="18"/>
                <w:szCs w:val="18"/>
              </w:rPr>
              <w:t xml:space="preserve"> </w:t>
            </w:r>
            <w:r w:rsidRPr="003B14E9">
              <w:rPr>
                <w:i w:val="0"/>
                <w:sz w:val="18"/>
                <w:szCs w:val="18"/>
                <w:lang w:val="ro-MD"/>
              </w:rPr>
              <w:t xml:space="preserve">jurisdicțiilor relevante menționate la articolul 296 alineatul (2) litera (b), a valabilității și a caracterului executoriu din punct de vedere juridic ale compensării contractuale. </w:t>
            </w:r>
          </w:p>
          <w:p w14:paraId="539C884D" w14:textId="77777777" w:rsidR="00622402" w:rsidRPr="003B14E9" w:rsidRDefault="00622402" w:rsidP="00622402">
            <w:pPr>
              <w:pStyle w:val="title-article-norm"/>
              <w:jc w:val="left"/>
              <w:rPr>
                <w:i w:val="0"/>
                <w:sz w:val="18"/>
                <w:szCs w:val="18"/>
                <w:lang w:val="ro-MD"/>
              </w:rPr>
            </w:pPr>
            <w:r w:rsidRPr="003B14E9">
              <w:rPr>
                <w:i w:val="0"/>
                <w:sz w:val="18"/>
                <w:szCs w:val="18"/>
                <w:lang w:val="ro-MD"/>
              </w:rPr>
              <w:t xml:space="preserve">(2) Instituția păstrează în dosarele sale toate documentele referitoare la compensarea contractuală necesare. </w:t>
            </w:r>
          </w:p>
          <w:p w14:paraId="6C25039B" w14:textId="3725D148" w:rsidR="00622402" w:rsidRPr="003B14E9" w:rsidRDefault="00622402" w:rsidP="00622402">
            <w:pPr>
              <w:pStyle w:val="title-article-norm"/>
              <w:jc w:val="left"/>
              <w:rPr>
                <w:i w:val="0"/>
                <w:sz w:val="18"/>
                <w:szCs w:val="18"/>
                <w:lang w:val="ro-MD"/>
              </w:rPr>
            </w:pPr>
            <w:r w:rsidRPr="003B14E9">
              <w:rPr>
                <w:i w:val="0"/>
                <w:sz w:val="18"/>
                <w:szCs w:val="18"/>
                <w:lang w:val="ro-MD"/>
              </w:rPr>
              <w:t xml:space="preserve">(3) Instituția ține seama de efectele compensării la măsurarea expunerii la riscul de credit agregat al fiecărei contrapărți și administrează riscul de credit al contrapărții pe baza efectelor acestei măsurări. </w:t>
            </w:r>
          </w:p>
        </w:tc>
        <w:tc>
          <w:tcPr>
            <w:tcW w:w="4425" w:type="dxa"/>
            <w:shd w:val="clear" w:color="auto" w:fill="auto"/>
          </w:tcPr>
          <w:p w14:paraId="40DA92CB" w14:textId="77777777" w:rsidR="00622402" w:rsidRPr="00CB1B13" w:rsidRDefault="00622402" w:rsidP="00622402">
            <w:pPr>
              <w:ind w:hanging="5"/>
              <w:jc w:val="center"/>
              <w:rPr>
                <w:sz w:val="18"/>
                <w:szCs w:val="18"/>
                <w:lang w:val="ro-MD" w:eastAsia="en-US"/>
              </w:rPr>
            </w:pPr>
            <w:r w:rsidRPr="00CB1B13">
              <w:rPr>
                <w:bCs/>
                <w:i/>
                <w:iCs/>
                <w:sz w:val="18"/>
                <w:szCs w:val="18"/>
                <w:lang w:val="ro-MD" w:eastAsia="en-US"/>
              </w:rPr>
              <w:t>Secţiunea a 3-a</w:t>
            </w:r>
          </w:p>
          <w:p w14:paraId="1C3E5535" w14:textId="77777777" w:rsidR="00622402" w:rsidRPr="00CB1B13" w:rsidRDefault="00622402" w:rsidP="00622402">
            <w:pPr>
              <w:ind w:hanging="5"/>
              <w:jc w:val="center"/>
              <w:rPr>
                <w:b/>
                <w:bCs/>
                <w:sz w:val="18"/>
                <w:szCs w:val="18"/>
                <w:lang w:val="ro-MD" w:eastAsia="en-US"/>
              </w:rPr>
            </w:pPr>
            <w:r w:rsidRPr="00CB1B13">
              <w:rPr>
                <w:b/>
                <w:bCs/>
                <w:sz w:val="18"/>
                <w:szCs w:val="18"/>
                <w:lang w:val="ro-MD" w:eastAsia="en-US"/>
              </w:rPr>
              <w:t>Obligaţiile băncilor</w:t>
            </w:r>
          </w:p>
          <w:p w14:paraId="1E579578" w14:textId="77777777" w:rsidR="00622402" w:rsidRPr="00CB1B13" w:rsidRDefault="00622402" w:rsidP="00622402">
            <w:pPr>
              <w:ind w:hanging="5"/>
              <w:jc w:val="both"/>
              <w:rPr>
                <w:sz w:val="18"/>
                <w:szCs w:val="18"/>
                <w:lang w:val="ro-MD" w:eastAsia="en-US"/>
              </w:rPr>
            </w:pPr>
            <w:r w:rsidRPr="00CB1B13">
              <w:rPr>
                <w:b/>
                <w:bCs/>
                <w:sz w:val="18"/>
                <w:szCs w:val="18"/>
                <w:lang w:val="ro-MD" w:eastAsia="en-US"/>
              </w:rPr>
              <w:t>94.</w:t>
            </w:r>
            <w:r w:rsidRPr="00CB1B13">
              <w:rPr>
                <w:sz w:val="18"/>
                <w:szCs w:val="18"/>
                <w:lang w:val="ro-MD" w:eastAsia="en-US"/>
              </w:rPr>
              <w:t xml:space="preserve"> Banca stabileşte şi menţine proceduri pentru a asigura reexaminarea, în cazul modificărilor legislaţiilor jurisdicţiilor relevante menţionate la punctul 92 subpunctul 2), a valabilităţii şi a caracterului executoriu din punct de vedere juridic ale compensării contractuale.</w:t>
            </w:r>
          </w:p>
          <w:p w14:paraId="210DCD73" w14:textId="77777777" w:rsidR="00622402" w:rsidRPr="00CB1B13" w:rsidRDefault="00622402" w:rsidP="00622402">
            <w:pPr>
              <w:ind w:hanging="5"/>
              <w:jc w:val="both"/>
              <w:rPr>
                <w:sz w:val="18"/>
                <w:szCs w:val="18"/>
                <w:lang w:val="ro-MD" w:eastAsia="en-US"/>
              </w:rPr>
            </w:pPr>
            <w:r w:rsidRPr="00CB1B13">
              <w:rPr>
                <w:b/>
                <w:bCs/>
                <w:sz w:val="18"/>
                <w:szCs w:val="18"/>
                <w:lang w:val="ro-MD" w:eastAsia="en-US"/>
              </w:rPr>
              <w:t>95.</w:t>
            </w:r>
            <w:r w:rsidRPr="00CB1B13">
              <w:rPr>
                <w:sz w:val="18"/>
                <w:szCs w:val="18"/>
                <w:lang w:val="ro-MD" w:eastAsia="en-US"/>
              </w:rPr>
              <w:t xml:space="preserve"> Banca păstrează în dosarele sale toate documentele referitoare la compensarea contractuală.</w:t>
            </w:r>
          </w:p>
          <w:p w14:paraId="298F78BD" w14:textId="77777777" w:rsidR="00622402" w:rsidRPr="00CB1B13" w:rsidRDefault="00622402" w:rsidP="00622402">
            <w:pPr>
              <w:ind w:hanging="5"/>
              <w:jc w:val="both"/>
              <w:rPr>
                <w:sz w:val="18"/>
                <w:szCs w:val="18"/>
                <w:lang w:val="ro-MD" w:eastAsia="en-US"/>
              </w:rPr>
            </w:pPr>
            <w:r w:rsidRPr="00CB1B13">
              <w:rPr>
                <w:b/>
                <w:bCs/>
                <w:sz w:val="18"/>
                <w:szCs w:val="18"/>
                <w:lang w:val="ro-MD" w:eastAsia="en-US"/>
              </w:rPr>
              <w:t>96.</w:t>
            </w:r>
            <w:r w:rsidRPr="00CB1B13">
              <w:rPr>
                <w:sz w:val="18"/>
                <w:szCs w:val="18"/>
                <w:lang w:val="ro-MD" w:eastAsia="en-US"/>
              </w:rPr>
              <w:t xml:space="preserve"> Banca ţine seama de efectele compensării la măsurarea expunerii la riscul de credit agregat al fiecărei contrapărţi şi administrează riscul de credit al contrapărţii pe baza efectelor acestei măsurări.</w:t>
            </w:r>
          </w:p>
          <w:p w14:paraId="630853FB"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518ABBFE" w14:textId="0017BAD6" w:rsidR="00622402" w:rsidRPr="003B14E9" w:rsidRDefault="00622402" w:rsidP="00622402">
            <w:pPr>
              <w:jc w:val="both"/>
              <w:rPr>
                <w:sz w:val="18"/>
                <w:szCs w:val="18"/>
                <w:lang w:val="ro-MD"/>
              </w:rPr>
            </w:pPr>
            <w:r w:rsidRPr="003B14E9">
              <w:rPr>
                <w:sz w:val="18"/>
                <w:szCs w:val="18"/>
                <w:lang w:val="ro-MD"/>
              </w:rPr>
              <w:t>Compatibil</w:t>
            </w:r>
          </w:p>
        </w:tc>
        <w:tc>
          <w:tcPr>
            <w:tcW w:w="3041" w:type="dxa"/>
          </w:tcPr>
          <w:p w14:paraId="525AEA1F" w14:textId="77777777" w:rsidR="00622402" w:rsidRPr="003B14E9" w:rsidRDefault="00622402" w:rsidP="00622402">
            <w:pPr>
              <w:rPr>
                <w:sz w:val="18"/>
                <w:szCs w:val="18"/>
                <w:lang w:val="ro-MD"/>
              </w:rPr>
            </w:pPr>
          </w:p>
        </w:tc>
        <w:tc>
          <w:tcPr>
            <w:tcW w:w="1055" w:type="dxa"/>
            <w:tcBorders>
              <w:top w:val="single" w:sz="4" w:space="0" w:color="auto"/>
              <w:bottom w:val="single" w:sz="4" w:space="0" w:color="auto"/>
            </w:tcBorders>
          </w:tcPr>
          <w:p w14:paraId="04D481DB"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678652D2" w14:textId="77777777" w:rsidR="00622402" w:rsidRPr="003B14E9" w:rsidRDefault="00622402" w:rsidP="00622402">
            <w:pPr>
              <w:jc w:val="both"/>
              <w:rPr>
                <w:sz w:val="18"/>
                <w:szCs w:val="18"/>
                <w:lang w:val="ro-MD"/>
              </w:rPr>
            </w:pPr>
          </w:p>
        </w:tc>
      </w:tr>
      <w:tr w:rsidR="00622402" w:rsidRPr="003B14E9" w14:paraId="7C163CAC" w14:textId="77777777" w:rsidTr="00604EF1">
        <w:trPr>
          <w:trHeight w:val="918"/>
        </w:trPr>
        <w:tc>
          <w:tcPr>
            <w:tcW w:w="4473" w:type="dxa"/>
          </w:tcPr>
          <w:p w14:paraId="05ACCEEB" w14:textId="296764DB" w:rsidR="00622402" w:rsidRPr="003B14E9" w:rsidRDefault="00622402" w:rsidP="00622402">
            <w:pPr>
              <w:pStyle w:val="title-article-norm"/>
              <w:jc w:val="left"/>
              <w:rPr>
                <w:i w:val="0"/>
                <w:sz w:val="18"/>
                <w:szCs w:val="18"/>
                <w:lang w:val="ro-MD"/>
              </w:rPr>
            </w:pPr>
            <w:r w:rsidRPr="003B14E9">
              <w:rPr>
                <w:i w:val="0"/>
                <w:sz w:val="18"/>
                <w:szCs w:val="18"/>
                <w:lang w:val="ro-MD"/>
              </w:rPr>
              <w:t xml:space="preserve">(4) În cazul acordurilor de compensare contractuală între produse diferite, menționate la articolul 295, instituția menține proceduri, în conformitate cu articolul 296 alineatul (2) litera (c) pentru a verifica dacă pentru orice tranzacție care urmează să fie inclusă într-un set de compensare a fost emisă opinia juridică prevăzută la articolul 296 alineatul (2) litera (b). Instituția continuă să se conformeze, ținând seama de acordul de compensare contractuală între produse diferite, cerințelor de recunoaștere a compensării bilaterale și cerințelor </w:t>
            </w:r>
            <w:r w:rsidRPr="003B14E9">
              <w:rPr>
                <w:i w:val="0"/>
                <w:sz w:val="18"/>
                <w:szCs w:val="18"/>
                <w:lang w:val="ro-MD"/>
              </w:rPr>
              <w:lastRenderedPageBreak/>
              <w:t>prevăzute la capitolul 4 pentru recunoașterea diminuării riscului de credit, după caz, pentru fiecare acord-cadru bilateral individual inclus și pentru fiecare tranzacție inclusă.</w:t>
            </w:r>
          </w:p>
        </w:tc>
        <w:tc>
          <w:tcPr>
            <w:tcW w:w="4425" w:type="dxa"/>
            <w:shd w:val="clear" w:color="auto" w:fill="auto"/>
          </w:tcPr>
          <w:p w14:paraId="518AC6B1"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53F54C6A" w14:textId="7E94F97A" w:rsidR="00622402" w:rsidRPr="003B14E9" w:rsidRDefault="00622402" w:rsidP="00622402">
            <w:pPr>
              <w:jc w:val="both"/>
              <w:rPr>
                <w:sz w:val="18"/>
                <w:szCs w:val="18"/>
                <w:lang w:val="ro-MD"/>
              </w:rPr>
            </w:pPr>
            <w:r w:rsidRPr="003B14E9">
              <w:rPr>
                <w:sz w:val="18"/>
                <w:szCs w:val="18"/>
                <w:lang w:val="ro-MD"/>
              </w:rPr>
              <w:t>Incompatibil</w:t>
            </w:r>
          </w:p>
        </w:tc>
        <w:tc>
          <w:tcPr>
            <w:tcW w:w="3041" w:type="dxa"/>
          </w:tcPr>
          <w:p w14:paraId="04816FBA" w14:textId="3433B595" w:rsidR="00622402" w:rsidRPr="003B14E9" w:rsidRDefault="00622402" w:rsidP="00622402">
            <w:pPr>
              <w:rPr>
                <w:sz w:val="18"/>
                <w:szCs w:val="18"/>
                <w:lang w:val="ro-MD"/>
              </w:rPr>
            </w:pPr>
            <w:r w:rsidRPr="003B14E9">
              <w:rPr>
                <w:sz w:val="18"/>
                <w:szCs w:val="18"/>
                <w:lang w:val="ro-MD"/>
              </w:rPr>
              <w:t xml:space="preserve">Partea a doua nu a fost transpusă, deoarece prevede acordurile de compensare contractuală între produse diferite, în cazul instituțiilor care aplica metoda modelului intern, care va fi transpus la o etapă ulterioară în reglementările ce țin de abordarea IRB.   </w:t>
            </w:r>
          </w:p>
        </w:tc>
        <w:tc>
          <w:tcPr>
            <w:tcW w:w="1055" w:type="dxa"/>
            <w:tcBorders>
              <w:top w:val="single" w:sz="4" w:space="0" w:color="auto"/>
              <w:bottom w:val="single" w:sz="4" w:space="0" w:color="auto"/>
            </w:tcBorders>
          </w:tcPr>
          <w:p w14:paraId="74A7F7A7"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6AD4ADA3" w14:textId="77777777" w:rsidR="00622402" w:rsidRPr="003B14E9" w:rsidRDefault="00622402" w:rsidP="00622402">
            <w:pPr>
              <w:jc w:val="both"/>
              <w:rPr>
                <w:sz w:val="18"/>
                <w:szCs w:val="18"/>
                <w:lang w:val="ro-MD"/>
              </w:rPr>
            </w:pPr>
          </w:p>
        </w:tc>
      </w:tr>
      <w:tr w:rsidR="00622402" w:rsidRPr="003B14E9" w14:paraId="515FD4BF" w14:textId="77777777" w:rsidTr="00604EF1">
        <w:trPr>
          <w:trHeight w:val="918"/>
        </w:trPr>
        <w:tc>
          <w:tcPr>
            <w:tcW w:w="4473" w:type="dxa"/>
          </w:tcPr>
          <w:p w14:paraId="3066A26A" w14:textId="77777777" w:rsidR="00622402" w:rsidRPr="003B14E9" w:rsidRDefault="00622402" w:rsidP="00622402">
            <w:pPr>
              <w:pStyle w:val="title-article-norm"/>
              <w:jc w:val="both"/>
              <w:rPr>
                <w:sz w:val="18"/>
                <w:szCs w:val="18"/>
                <w:lang w:val="ro-MD"/>
              </w:rPr>
            </w:pPr>
            <w:r w:rsidRPr="003B14E9">
              <w:rPr>
                <w:sz w:val="18"/>
                <w:szCs w:val="18"/>
                <w:lang w:val="ro-MD"/>
              </w:rPr>
              <w:t xml:space="preserve">Articolul 298 </w:t>
            </w:r>
            <w:r w:rsidRPr="003B14E9">
              <w:rPr>
                <w:b/>
                <w:i w:val="0"/>
                <w:sz w:val="18"/>
                <w:szCs w:val="18"/>
                <w:lang w:val="ro-MD"/>
              </w:rPr>
              <w:t>Efectele recunoașterii compensării ca diminuatoare de risc</w:t>
            </w:r>
            <w:r w:rsidRPr="003B14E9">
              <w:rPr>
                <w:sz w:val="18"/>
                <w:szCs w:val="18"/>
                <w:lang w:val="ro-MD"/>
              </w:rPr>
              <w:t xml:space="preserve"> </w:t>
            </w:r>
          </w:p>
          <w:p w14:paraId="6C71839D" w14:textId="428E2ACA" w:rsidR="00622402" w:rsidRPr="003B14E9" w:rsidRDefault="00622402" w:rsidP="00622402">
            <w:pPr>
              <w:pStyle w:val="title-article-norm"/>
              <w:jc w:val="both"/>
              <w:rPr>
                <w:i w:val="0"/>
                <w:iCs w:val="0"/>
                <w:sz w:val="18"/>
                <w:szCs w:val="18"/>
                <w:lang w:val="ro-MD"/>
              </w:rPr>
            </w:pPr>
            <w:r w:rsidRPr="003B14E9">
              <w:rPr>
                <w:i w:val="0"/>
                <w:iCs w:val="0"/>
                <w:sz w:val="18"/>
                <w:szCs w:val="18"/>
                <w:lang w:val="ro-MD"/>
              </w:rPr>
              <w:t xml:space="preserve">Compensarea în sensul secţiunilor 3-6 este recunoscută astfel cum se indică în secţiunile respective. </w:t>
            </w:r>
          </w:p>
          <w:p w14:paraId="6BBC189E" w14:textId="77777777" w:rsidR="00622402" w:rsidRPr="003B14E9" w:rsidRDefault="00622402" w:rsidP="00622402">
            <w:pPr>
              <w:pStyle w:val="title-article-norm"/>
              <w:rPr>
                <w:i w:val="0"/>
                <w:sz w:val="18"/>
                <w:szCs w:val="18"/>
                <w:lang w:val="ro-MD"/>
              </w:rPr>
            </w:pPr>
          </w:p>
        </w:tc>
        <w:tc>
          <w:tcPr>
            <w:tcW w:w="4425" w:type="dxa"/>
            <w:shd w:val="clear" w:color="auto" w:fill="auto"/>
          </w:tcPr>
          <w:p w14:paraId="59D30656" w14:textId="77777777" w:rsidR="00622402" w:rsidRPr="003B14E9" w:rsidRDefault="00622402" w:rsidP="00622402">
            <w:pPr>
              <w:jc w:val="center"/>
              <w:rPr>
                <w:sz w:val="18"/>
                <w:szCs w:val="18"/>
                <w:lang w:val="ro-MD"/>
              </w:rPr>
            </w:pPr>
            <w:r w:rsidRPr="003B14E9">
              <w:rPr>
                <w:bCs/>
                <w:i/>
                <w:iCs/>
                <w:sz w:val="18"/>
                <w:szCs w:val="18"/>
                <w:lang w:val="ro-MD"/>
              </w:rPr>
              <w:t>Secţiunea a 4-a</w:t>
            </w:r>
          </w:p>
          <w:p w14:paraId="0FA6E517" w14:textId="77777777" w:rsidR="00622402" w:rsidRPr="003B14E9" w:rsidRDefault="00622402" w:rsidP="00622402">
            <w:pPr>
              <w:jc w:val="center"/>
              <w:rPr>
                <w:sz w:val="18"/>
                <w:szCs w:val="18"/>
                <w:lang w:val="ro-MD"/>
              </w:rPr>
            </w:pPr>
            <w:r w:rsidRPr="003B14E9">
              <w:rPr>
                <w:i/>
                <w:iCs/>
                <w:sz w:val="18"/>
                <w:szCs w:val="18"/>
                <w:lang w:val="ro-MD"/>
              </w:rPr>
              <w:t>Efectele recunoaşterii compensării ca diminuatoare de risc</w:t>
            </w:r>
          </w:p>
          <w:p w14:paraId="10AF60A6" w14:textId="77777777" w:rsidR="00622402" w:rsidRPr="003B14E9" w:rsidRDefault="00622402" w:rsidP="00622402">
            <w:pPr>
              <w:jc w:val="both"/>
              <w:rPr>
                <w:sz w:val="18"/>
                <w:szCs w:val="18"/>
                <w:lang w:val="ro-MD"/>
              </w:rPr>
            </w:pPr>
            <w:r w:rsidRPr="003B14E9">
              <w:rPr>
                <w:b/>
                <w:bCs/>
                <w:sz w:val="18"/>
                <w:szCs w:val="18"/>
                <w:lang w:val="ro-MD"/>
              </w:rPr>
              <w:t>97.</w:t>
            </w:r>
            <w:r w:rsidRPr="003B14E9">
              <w:rPr>
                <w:sz w:val="18"/>
                <w:szCs w:val="18"/>
                <w:lang w:val="ro-MD"/>
              </w:rPr>
              <w:t xml:space="preserve"> Compensarea în sensul secţiunilor 3-6 este recunoscută astfel cum se indică în secţiunile respective.  </w:t>
            </w:r>
          </w:p>
          <w:p w14:paraId="2A094B3A" w14:textId="77777777" w:rsidR="00622402" w:rsidRPr="003B14E9" w:rsidRDefault="00622402" w:rsidP="00622402">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160" w:type="dxa"/>
          </w:tcPr>
          <w:p w14:paraId="4197C437" w14:textId="331B8A1C" w:rsidR="00622402" w:rsidRPr="003B14E9" w:rsidRDefault="00622402" w:rsidP="00622402">
            <w:pPr>
              <w:jc w:val="both"/>
              <w:rPr>
                <w:sz w:val="18"/>
                <w:szCs w:val="18"/>
                <w:lang w:val="ro-MD"/>
              </w:rPr>
            </w:pPr>
            <w:r w:rsidRPr="003B14E9">
              <w:rPr>
                <w:sz w:val="18"/>
                <w:szCs w:val="18"/>
                <w:lang w:val="ro-MD"/>
              </w:rPr>
              <w:t>Compatibil</w:t>
            </w:r>
          </w:p>
        </w:tc>
        <w:tc>
          <w:tcPr>
            <w:tcW w:w="3041" w:type="dxa"/>
          </w:tcPr>
          <w:p w14:paraId="764F4B24" w14:textId="77777777" w:rsidR="00622402" w:rsidRPr="003B14E9" w:rsidRDefault="00622402" w:rsidP="00622402">
            <w:pPr>
              <w:rPr>
                <w:sz w:val="18"/>
                <w:szCs w:val="18"/>
                <w:lang w:val="ro-MD"/>
              </w:rPr>
            </w:pPr>
          </w:p>
        </w:tc>
        <w:tc>
          <w:tcPr>
            <w:tcW w:w="1055" w:type="dxa"/>
            <w:tcBorders>
              <w:top w:val="single" w:sz="4" w:space="0" w:color="auto"/>
              <w:bottom w:val="single" w:sz="4" w:space="0" w:color="auto"/>
            </w:tcBorders>
          </w:tcPr>
          <w:p w14:paraId="5B02AA20"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104565D2" w14:textId="77777777" w:rsidR="00622402" w:rsidRPr="003B14E9" w:rsidRDefault="00622402" w:rsidP="00622402">
            <w:pPr>
              <w:jc w:val="both"/>
              <w:rPr>
                <w:sz w:val="18"/>
                <w:szCs w:val="18"/>
                <w:lang w:val="ro-MD"/>
              </w:rPr>
            </w:pPr>
          </w:p>
        </w:tc>
      </w:tr>
      <w:tr w:rsidR="00622402" w:rsidRPr="003B14E9" w14:paraId="19C3091B" w14:textId="77777777" w:rsidTr="00604EF1">
        <w:trPr>
          <w:trHeight w:val="918"/>
        </w:trPr>
        <w:tc>
          <w:tcPr>
            <w:tcW w:w="4473" w:type="dxa"/>
          </w:tcPr>
          <w:p w14:paraId="0B598BAC" w14:textId="77777777" w:rsidR="00622402" w:rsidRPr="003B14E9" w:rsidRDefault="00622402" w:rsidP="00622402">
            <w:pPr>
              <w:pStyle w:val="title-article-norm"/>
              <w:rPr>
                <w:i w:val="0"/>
                <w:sz w:val="18"/>
                <w:szCs w:val="18"/>
                <w:lang w:val="ro-MD"/>
              </w:rPr>
            </w:pPr>
            <w:r w:rsidRPr="003B14E9">
              <w:rPr>
                <w:i w:val="0"/>
                <w:sz w:val="18"/>
                <w:szCs w:val="18"/>
                <w:lang w:val="ro-MD"/>
              </w:rPr>
              <w:t>Secțiunea 8</w:t>
            </w:r>
          </w:p>
          <w:p w14:paraId="054FF957" w14:textId="77777777" w:rsidR="00622402" w:rsidRPr="003B14E9" w:rsidRDefault="00622402" w:rsidP="00622402">
            <w:pPr>
              <w:pStyle w:val="title-article-norm"/>
              <w:rPr>
                <w:b/>
                <w:i w:val="0"/>
                <w:sz w:val="18"/>
                <w:szCs w:val="18"/>
                <w:lang w:val="ro-MD"/>
              </w:rPr>
            </w:pPr>
            <w:r w:rsidRPr="003B14E9">
              <w:rPr>
                <w:b/>
                <w:i w:val="0"/>
                <w:sz w:val="18"/>
                <w:szCs w:val="18"/>
                <w:lang w:val="ro-MD"/>
              </w:rPr>
              <w:t>Elemente ale portofoliului de tran</w:t>
            </w:r>
            <w:r w:rsidRPr="003B14E9">
              <w:rPr>
                <w:b/>
                <w:i w:val="0"/>
                <w:sz w:val="18"/>
                <w:szCs w:val="18"/>
                <w:lang w:val="ro-MD"/>
              </w:rPr>
              <w:softHyphen/>
              <w:t>zacționare</w:t>
            </w:r>
          </w:p>
          <w:p w14:paraId="681D2664" w14:textId="77777777" w:rsidR="00622402" w:rsidRPr="003B14E9" w:rsidRDefault="00622402" w:rsidP="00622402">
            <w:pPr>
              <w:pStyle w:val="title-article-norm"/>
              <w:jc w:val="both"/>
              <w:rPr>
                <w:i w:val="0"/>
                <w:sz w:val="18"/>
                <w:szCs w:val="18"/>
                <w:lang w:val="ro-MD"/>
              </w:rPr>
            </w:pPr>
            <w:r w:rsidRPr="003B14E9">
              <w:rPr>
                <w:sz w:val="18"/>
                <w:szCs w:val="18"/>
                <w:lang w:val="ro-MD"/>
              </w:rPr>
              <w:t>Articolul 299</w:t>
            </w:r>
            <w:r w:rsidRPr="003B14E9">
              <w:rPr>
                <w:i w:val="0"/>
                <w:sz w:val="18"/>
                <w:szCs w:val="18"/>
                <w:lang w:val="ro-MD"/>
              </w:rPr>
              <w:t xml:space="preserve"> </w:t>
            </w:r>
            <w:r w:rsidRPr="003B14E9">
              <w:rPr>
                <w:b/>
                <w:i w:val="0"/>
                <w:sz w:val="18"/>
                <w:szCs w:val="18"/>
                <w:lang w:val="ro-MD"/>
              </w:rPr>
              <w:t>Elemente ale portofoliului de tranzacționare</w:t>
            </w:r>
            <w:r w:rsidRPr="003B14E9">
              <w:rPr>
                <w:i w:val="0"/>
                <w:sz w:val="18"/>
                <w:szCs w:val="18"/>
                <w:lang w:val="ro-MD"/>
              </w:rPr>
              <w:t xml:space="preserve"> </w:t>
            </w:r>
          </w:p>
          <w:p w14:paraId="4156B57A"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(1) În scopul aplicării prezentului articol, anexa II va include o trimitere la instrumentele financiare derivate pentru transferul riscului de credit, menționate în secțiunea C punctul 8 din anexa I la Directiva 2004/39/CE. </w:t>
            </w:r>
          </w:p>
          <w:p w14:paraId="367CD96B" w14:textId="77777777" w:rsidR="00622402" w:rsidRPr="003B14E9" w:rsidRDefault="00622402" w:rsidP="00622402">
            <w:pPr>
              <w:pStyle w:val="title-article-norm"/>
              <w:jc w:val="both"/>
              <w:rPr>
                <w:i w:val="0"/>
                <w:sz w:val="18"/>
                <w:szCs w:val="18"/>
                <w:lang w:val="ro-MD"/>
              </w:rPr>
            </w:pPr>
            <w:r w:rsidRPr="003B14E9">
              <w:rPr>
                <w:i w:val="0"/>
                <w:sz w:val="18"/>
                <w:szCs w:val="18"/>
                <w:lang w:val="ro-MD"/>
              </w:rPr>
              <w:t>(2) La calculul valorilor ponderate la riscul de contraparte ale expunerilor elementelor din portofoliul de tranzacționare, instituțiile respectă următoarele principii:</w:t>
            </w:r>
          </w:p>
          <w:p w14:paraId="6EADBE60"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(b) instituțiile nu trebuie să utilizeze metoda simplă a garanțiilor financiare prevăzută la articolul 222 pentru recunoașterea efectelor garanției financiare; </w:t>
            </w:r>
          </w:p>
          <w:p w14:paraId="1A6D6748"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(c) în cazul tranzacțiilor de răscumpărare și al operațiunilor de dare sau luare de titluri sau mărfuri cu împrumut </w:t>
            </w:r>
            <w:r w:rsidRPr="003B14E9">
              <w:rPr>
                <w:i w:val="0"/>
                <w:sz w:val="18"/>
                <w:szCs w:val="18"/>
                <w:lang w:val="ro-MD"/>
              </w:rPr>
              <w:lastRenderedPageBreak/>
              <w:t xml:space="preserve">înregistrate în portofoliul de tranzacționare, instituțiile pot recunoaște drept garanții reale eligibile toate instrumentele financiare și toate mărfurile care sunt eligibile pentru includere în portofoliul de tranzacționare; </w:t>
            </w:r>
          </w:p>
          <w:p w14:paraId="721FF91D" w14:textId="77777777" w:rsidR="00622402" w:rsidRPr="003B14E9" w:rsidRDefault="00622402" w:rsidP="00622402">
            <w:pPr>
              <w:pStyle w:val="title-article-norm"/>
              <w:jc w:val="both"/>
              <w:rPr>
                <w:i w:val="0"/>
                <w:sz w:val="18"/>
                <w:szCs w:val="18"/>
                <w:lang w:val="ro-MD"/>
              </w:rPr>
            </w:pPr>
            <w:r w:rsidRPr="003B14E9">
              <w:rPr>
                <w:i w:val="0"/>
                <w:sz w:val="18"/>
                <w:szCs w:val="18"/>
                <w:lang w:val="ro-MD"/>
              </w:rPr>
              <w:t>(d) pentru expunerile care provin din instrumente financiare derivate extrabursiere înregistrate în portofoliul de tranzacționare, instituțiile pot recunoaște drept garanții reale eligibile mărfurile care sunt eligibile pentru includere în portofoliul de tranzacționare;</w:t>
            </w:r>
          </w:p>
          <w:p w14:paraId="4FA4C412"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(e) în vederea calculării ajustărilor de volatilitate în cazul în care aceste instrumente financiare sau mărfuri, care nu sunt eligibile în conformitate cu capitolul 4, sunt date cu împrumut, vândute sau furnizate, ori luate cu împrumut, achiziționate sau primite drept garanții reale sau în alt mod în cadrul unei astfel de tranzacții, iar instituția utilizează, în conformitate cu capitolul 4 secțiunea 3, abordarea bazată pe ajustări de volatilitate reglementate, aceasta tratează astfel de instrumente și mărfuri în același fel ca titlurile de capital neincluse într-un indice principal și cotate la o bursă recunoscută; </w:t>
            </w:r>
          </w:p>
          <w:p w14:paraId="7F02CE29"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(f) dacă o instituție utilizează abordarea bazată pe estimări proprii ale ajustărilor de volatilitate în conformitate cu capitolul 4 secțiunea 3 pentru instrumentele financiare sau mărfurile care nu sunt eligibile în conformitate cu capitolul 4, aceasta calculează ajustările de volatilitate pentru fiecare element individual. Dacă a obținut aprobarea să utilizeze abordarea bazată pe modele interne definită în capitolul 4, instituția poate aplica această abordare și pentru portofoliul de tranzacționare; </w:t>
            </w:r>
          </w:p>
          <w:p w14:paraId="29AC031E"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(g) în ceea ce privește recunoașterea acordurilor-cadru de compensare care acoperă tranzacții de răscumpărare, </w:t>
            </w:r>
            <w:r w:rsidRPr="003B14E9">
              <w:rPr>
                <w:i w:val="0"/>
                <w:sz w:val="18"/>
                <w:szCs w:val="18"/>
                <w:lang w:val="ro-MD"/>
              </w:rPr>
              <w:lastRenderedPageBreak/>
              <w:t xml:space="preserve">operațiuni de dare sau luare de titluri sau mărfuri cu împrumut sau alte operațiuni ajustate la condițiile pieței de capital, instituțiile recunosc compensarea între poziții din portofoliul de tranzacționare și poziții din afara acestuia, numai dacă tranzacțiile compensate îndeplinesc următoarele condiții: </w:t>
            </w:r>
          </w:p>
          <w:p w14:paraId="47005211"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(i) toate tranzacțiile sunt marcate la piață zilnic; </w:t>
            </w:r>
          </w:p>
          <w:p w14:paraId="72592A8B"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(ii) orice elemente luate cu împrumut, achiziționate sau primite în cadrul tranzacțiilor pot fi recunoscute drept garanții financiare eligibile în conformitate cu capitolul 4, fără aplicarea literelor (c)-(f) din prezentul alineat; </w:t>
            </w:r>
          </w:p>
          <w:p w14:paraId="61C20490"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(h) dacă un instrument financiar derivat de credit inclus în portofoliul de tranzacționare face parte dintr-o acoperire internă a riscului, iar protecția creditului este recunoscută în temeiul prezentului regulament în conformitate cu articolul 204, instituțiile aplică una din următoarele abordări: </w:t>
            </w:r>
          </w:p>
          <w:p w14:paraId="6B360212" w14:textId="77777777" w:rsidR="00622402" w:rsidRPr="003B14E9" w:rsidRDefault="00622402" w:rsidP="00622402">
            <w:pPr>
              <w:pStyle w:val="title-article-norm"/>
              <w:jc w:val="both"/>
              <w:rPr>
                <w:i w:val="0"/>
                <w:sz w:val="18"/>
                <w:szCs w:val="18"/>
                <w:lang w:val="ro-MD"/>
              </w:rPr>
            </w:pPr>
            <w:r w:rsidRPr="003B14E9">
              <w:rPr>
                <w:i w:val="0"/>
                <w:sz w:val="18"/>
                <w:szCs w:val="18"/>
                <w:lang w:val="ro-MD"/>
              </w:rPr>
              <w:t xml:space="preserve">(i) tratează instrumentul financiar derivat de credit ca și când nu ar exista risc de contraparte decurgând din poziția pe instrumentul respectiv; </w:t>
            </w:r>
          </w:p>
          <w:p w14:paraId="35217DF2" w14:textId="11FA4CC0" w:rsidR="00622402" w:rsidRPr="003B14E9" w:rsidRDefault="00622402" w:rsidP="00622402">
            <w:pPr>
              <w:pStyle w:val="title-article-norm"/>
              <w:jc w:val="both"/>
              <w:rPr>
                <w:sz w:val="18"/>
                <w:szCs w:val="18"/>
                <w:lang w:val="ro-MD"/>
              </w:rPr>
            </w:pPr>
            <w:r w:rsidRPr="003B14E9">
              <w:rPr>
                <w:i w:val="0"/>
                <w:sz w:val="18"/>
                <w:szCs w:val="18"/>
                <w:lang w:val="ro-MD"/>
              </w:rPr>
              <w:t>(ii) includ în mod consecvent în calculul cerințelor de fonduri proprii pentru riscul de credit al contrapărții toate instrumentele financiare derivate de credit din portofoliul de tranzacționare care fac parte din acoperiri interne ale riscului sau sunt achiziționate ca protecție împotriva unei expuneri la riscul de credit al contrapărții, dacă protecția creditului este recunoscută ca eligibilă în conformitate cu capitolul 4.</w:t>
            </w:r>
          </w:p>
        </w:tc>
        <w:tc>
          <w:tcPr>
            <w:tcW w:w="4425" w:type="dxa"/>
            <w:shd w:val="clear" w:color="auto" w:fill="auto"/>
          </w:tcPr>
          <w:p w14:paraId="4A5F1DEB" w14:textId="77777777" w:rsidR="00622402" w:rsidRPr="00CB1B13" w:rsidRDefault="00622402" w:rsidP="00622402">
            <w:pPr>
              <w:jc w:val="center"/>
              <w:rPr>
                <w:sz w:val="18"/>
                <w:szCs w:val="18"/>
                <w:lang w:val="ro-MD" w:eastAsia="en-US"/>
              </w:rPr>
            </w:pPr>
            <w:r w:rsidRPr="00CB1B13">
              <w:rPr>
                <w:b/>
                <w:bCs/>
                <w:sz w:val="18"/>
                <w:szCs w:val="18"/>
                <w:lang w:val="ro-MD" w:eastAsia="en-US"/>
              </w:rPr>
              <w:lastRenderedPageBreak/>
              <w:t>Capitolul VII</w:t>
            </w:r>
          </w:p>
          <w:p w14:paraId="3E0B94BE" w14:textId="77777777" w:rsidR="00622402" w:rsidRPr="00CB1B13" w:rsidRDefault="00622402" w:rsidP="00622402">
            <w:pPr>
              <w:jc w:val="center"/>
              <w:rPr>
                <w:b/>
                <w:bCs/>
                <w:sz w:val="18"/>
                <w:szCs w:val="18"/>
                <w:lang w:val="ro-MD" w:eastAsia="en-US"/>
              </w:rPr>
            </w:pPr>
            <w:r w:rsidRPr="00CB1B13">
              <w:rPr>
                <w:b/>
                <w:bCs/>
                <w:sz w:val="18"/>
                <w:szCs w:val="18"/>
                <w:lang w:val="ro-MD" w:eastAsia="en-US"/>
              </w:rPr>
              <w:t>ELEMENTE ALE PORTOFOLIULUI DE TRANZACŢIONARE</w:t>
            </w:r>
          </w:p>
          <w:p w14:paraId="5D5604BA" w14:textId="77777777" w:rsidR="00622402" w:rsidRPr="00CB1B13" w:rsidRDefault="00622402" w:rsidP="00622402">
            <w:pPr>
              <w:jc w:val="center"/>
              <w:rPr>
                <w:sz w:val="18"/>
                <w:szCs w:val="18"/>
                <w:lang w:val="ro-MD" w:eastAsia="en-US"/>
              </w:rPr>
            </w:pPr>
          </w:p>
          <w:p w14:paraId="48004D41" w14:textId="77777777" w:rsidR="00622402" w:rsidRPr="00CB1B13" w:rsidRDefault="00622402" w:rsidP="00622402">
            <w:pPr>
              <w:jc w:val="both"/>
              <w:rPr>
                <w:sz w:val="18"/>
                <w:szCs w:val="18"/>
                <w:lang w:val="ro-MD" w:eastAsia="en-US"/>
              </w:rPr>
            </w:pPr>
            <w:r w:rsidRPr="00CB1B13">
              <w:rPr>
                <w:b/>
                <w:bCs/>
                <w:sz w:val="18"/>
                <w:szCs w:val="18"/>
                <w:lang w:val="ro-MD" w:eastAsia="en-US"/>
              </w:rPr>
              <w:t>98.</w:t>
            </w:r>
            <w:r w:rsidRPr="00CB1B13">
              <w:rPr>
                <w:sz w:val="18"/>
                <w:szCs w:val="18"/>
                <w:lang w:val="ro-MD" w:eastAsia="en-US"/>
              </w:rPr>
              <w:t xml:space="preserve"> La calculul cuantumurilor ponderate la riscul de contraparte ale expunerilor elementelor din portofoliul de tranzacţionare, băncile respectă regulile descrise la punctele 99-104.</w:t>
            </w:r>
          </w:p>
          <w:p w14:paraId="4EA08FDA" w14:textId="77777777" w:rsidR="00622402" w:rsidRPr="00CB1B13" w:rsidRDefault="00622402" w:rsidP="00622402">
            <w:pPr>
              <w:jc w:val="both"/>
              <w:rPr>
                <w:sz w:val="18"/>
                <w:szCs w:val="18"/>
                <w:lang w:val="ro-MD" w:eastAsia="en-US"/>
              </w:rPr>
            </w:pPr>
            <w:r w:rsidRPr="00CB1B13">
              <w:rPr>
                <w:b/>
                <w:bCs/>
                <w:sz w:val="18"/>
                <w:szCs w:val="18"/>
                <w:lang w:val="ro-MD" w:eastAsia="en-US"/>
              </w:rPr>
              <w:t>99.</w:t>
            </w:r>
            <w:r w:rsidRPr="00CB1B13">
              <w:rPr>
                <w:sz w:val="18"/>
                <w:szCs w:val="18"/>
                <w:lang w:val="ro-MD" w:eastAsia="en-US"/>
              </w:rPr>
              <w:t xml:space="preserve"> Pentru recunoaşterea efectelor garanţiei financiare băncile nu utilizează metoda simplă a garanţiilor financiare prevăzută la capitolul VIII secţiunea a 4-a din Regulamentul nr.112/2018 cu privire la tehnicile de diminuare a riscului de credit utilizate de bănci.</w:t>
            </w:r>
          </w:p>
          <w:p w14:paraId="00BB84DA" w14:textId="77777777" w:rsidR="00622402" w:rsidRPr="00CB1B13" w:rsidRDefault="00622402" w:rsidP="00622402">
            <w:pPr>
              <w:jc w:val="both"/>
              <w:rPr>
                <w:sz w:val="18"/>
                <w:szCs w:val="18"/>
                <w:lang w:val="ro-MD" w:eastAsia="en-US"/>
              </w:rPr>
            </w:pPr>
            <w:r w:rsidRPr="00CB1B13">
              <w:rPr>
                <w:b/>
                <w:bCs/>
                <w:sz w:val="18"/>
                <w:szCs w:val="18"/>
                <w:lang w:val="ro-MD" w:eastAsia="en-US"/>
              </w:rPr>
              <w:t>100.</w:t>
            </w:r>
            <w:r w:rsidRPr="00CB1B13">
              <w:rPr>
                <w:sz w:val="18"/>
                <w:szCs w:val="18"/>
                <w:lang w:val="ro-MD" w:eastAsia="en-US"/>
              </w:rPr>
              <w:t xml:space="preserve"> În cazul tranzacţiilor de răscumpărare şi al operaţiunilor de dare sau luare de titluri sau mărfuri cu împrumut înregistrate în portofoliul de tranzacţionare, băncile pot recunoaşte drept garanţii reale eligibile toate instrumentele financiare şi toate mărfurile care sunt eligibile pentru includere în portofoliul de tranzacţionare.</w:t>
            </w:r>
          </w:p>
          <w:p w14:paraId="34E44CD4" w14:textId="77777777" w:rsidR="00622402" w:rsidRPr="00CB1B13" w:rsidRDefault="00622402" w:rsidP="00622402">
            <w:pPr>
              <w:jc w:val="both"/>
              <w:rPr>
                <w:sz w:val="18"/>
                <w:szCs w:val="18"/>
                <w:lang w:val="ro-MD" w:eastAsia="en-US"/>
              </w:rPr>
            </w:pPr>
            <w:r w:rsidRPr="00CB1B13">
              <w:rPr>
                <w:b/>
                <w:bCs/>
                <w:sz w:val="18"/>
                <w:szCs w:val="18"/>
                <w:lang w:val="ro-MD" w:eastAsia="en-US"/>
              </w:rPr>
              <w:t>101.</w:t>
            </w:r>
            <w:r w:rsidRPr="00CB1B13">
              <w:rPr>
                <w:sz w:val="18"/>
                <w:szCs w:val="18"/>
                <w:lang w:val="ro-MD" w:eastAsia="en-US"/>
              </w:rPr>
              <w:t xml:space="preserve"> Pentru expunerile care provin din instrumente financiare derivate extrabursiere înregistrate în portofoliul de tranzacţionare, băncile pot recunoaşte drept garanţii reale eligibile mărfurile care sunt eligibile pentru includere în portofoliul de tranzacţionare.</w:t>
            </w:r>
          </w:p>
          <w:p w14:paraId="35642C3F" w14:textId="77777777" w:rsidR="00622402" w:rsidRPr="00CB1B13" w:rsidRDefault="00622402" w:rsidP="00622402">
            <w:pPr>
              <w:jc w:val="both"/>
              <w:rPr>
                <w:sz w:val="18"/>
                <w:szCs w:val="18"/>
                <w:lang w:val="ro-MD" w:eastAsia="en-US"/>
              </w:rPr>
            </w:pPr>
            <w:r w:rsidRPr="00CB1B13">
              <w:rPr>
                <w:b/>
                <w:bCs/>
                <w:sz w:val="18"/>
                <w:szCs w:val="18"/>
                <w:lang w:val="ro-MD" w:eastAsia="en-US"/>
              </w:rPr>
              <w:lastRenderedPageBreak/>
              <w:t>102.</w:t>
            </w:r>
            <w:r w:rsidRPr="00CB1B13">
              <w:rPr>
                <w:sz w:val="18"/>
                <w:szCs w:val="18"/>
                <w:lang w:val="ro-MD" w:eastAsia="en-US"/>
              </w:rPr>
              <w:t xml:space="preserve"> În vederea calculării ajustărilor de volatilitate, în cazul în care astfel de instrumente financiare sau mărfuri, care nu sunt eligibile în conformitate cu Regulamentul nr.112/2018 cu privire la tehnicile de diminuare a riscului de credit utilizate de bănci, sunt date cu împrumut, vândute sau furnizate, ori luate cu împrumut, achiziţionate sau primite drept garanţii reale, sau în alt mod în cadrul unei astfel de tranzacţii, iar banca utilizează, în conformitate cu capitolul VIII din regulamentul nominalizat, abordarea bazată pe ajustări de volatilitate reglementate, astfel de instrumente şi mărfuri se tratează în acelaşi fel ca titlurile de capital neincluse într-un indice principal şi cotate la o bursă recunoscută.</w:t>
            </w:r>
          </w:p>
          <w:p w14:paraId="5F0239F3" w14:textId="77777777" w:rsidR="00622402" w:rsidRPr="00CB1B13" w:rsidRDefault="00622402" w:rsidP="00622402">
            <w:pPr>
              <w:jc w:val="both"/>
              <w:rPr>
                <w:sz w:val="18"/>
                <w:szCs w:val="18"/>
                <w:lang w:val="ro-MD" w:eastAsia="en-US"/>
              </w:rPr>
            </w:pPr>
            <w:r w:rsidRPr="00CB1B13">
              <w:rPr>
                <w:b/>
                <w:bCs/>
                <w:sz w:val="18"/>
                <w:szCs w:val="18"/>
                <w:lang w:val="ro-MD" w:eastAsia="en-US"/>
              </w:rPr>
              <w:t>103.</w:t>
            </w:r>
            <w:r w:rsidRPr="00CB1B13">
              <w:rPr>
                <w:sz w:val="18"/>
                <w:szCs w:val="18"/>
                <w:lang w:val="ro-MD" w:eastAsia="en-US"/>
              </w:rPr>
              <w:t xml:space="preserve"> În ceea ce priveşte recunoaşterea acordurilor-cadru de compensare care acoperă tranzacţii de răscumpărare, operaţiuni de dare sau luare de titluri sau mărfuri cu împrumut sau alte operaţiuni ajustate la condiţiile pieţei de capital, băncile recunosc compensarea între poziţii din portofoliul de tranzacţionare şi poziţii din afara portofoliului de tranzacţionare, numai dacă tranzacţiile compensate îndeplinesc următoarele condiţii:</w:t>
            </w:r>
          </w:p>
          <w:p w14:paraId="73760554" w14:textId="77777777" w:rsidR="00622402" w:rsidRPr="00CB1B13" w:rsidRDefault="00622402" w:rsidP="00622402">
            <w:pPr>
              <w:jc w:val="both"/>
              <w:rPr>
                <w:sz w:val="18"/>
                <w:szCs w:val="18"/>
                <w:lang w:val="ro-MD" w:eastAsia="en-US"/>
              </w:rPr>
            </w:pPr>
            <w:r w:rsidRPr="00CB1B13">
              <w:rPr>
                <w:sz w:val="18"/>
                <w:szCs w:val="18"/>
                <w:lang w:val="ro-MD" w:eastAsia="en-US"/>
              </w:rPr>
              <w:t>1) toate tranzacţiile sunt marcate la piaţă zilnic;</w:t>
            </w:r>
          </w:p>
          <w:p w14:paraId="11B7507E" w14:textId="77777777" w:rsidR="00622402" w:rsidRPr="00CB1B13" w:rsidRDefault="00622402" w:rsidP="00622402">
            <w:pPr>
              <w:jc w:val="both"/>
              <w:rPr>
                <w:sz w:val="18"/>
                <w:szCs w:val="18"/>
                <w:lang w:val="ro-MD" w:eastAsia="en-US"/>
              </w:rPr>
            </w:pPr>
            <w:r w:rsidRPr="00CB1B13">
              <w:rPr>
                <w:sz w:val="18"/>
                <w:szCs w:val="18"/>
                <w:lang w:val="ro-MD" w:eastAsia="en-US"/>
              </w:rPr>
              <w:t>2) orice elemente luate cu împrumut, achiziţionate sau primite în cadrul tranzacţiilor pot fi recunoscute drept garanţii financiare eligibile în conformitate cu punctul 25 din Regulamentul nr.112/2018 cu privire la tehnicile de diminuare a riscului de credit utilizate de bănci, fără aplicarea punctului 100.</w:t>
            </w:r>
          </w:p>
          <w:p w14:paraId="4097B7AF" w14:textId="77777777" w:rsidR="00622402" w:rsidRPr="00CB1B13" w:rsidRDefault="00622402" w:rsidP="00622402">
            <w:pPr>
              <w:jc w:val="both"/>
              <w:rPr>
                <w:sz w:val="18"/>
                <w:szCs w:val="18"/>
                <w:lang w:val="ro-MD" w:eastAsia="en-US"/>
              </w:rPr>
            </w:pPr>
            <w:r w:rsidRPr="00CB1B13">
              <w:rPr>
                <w:b/>
                <w:bCs/>
                <w:sz w:val="18"/>
                <w:szCs w:val="18"/>
                <w:lang w:val="ro-MD" w:eastAsia="en-US"/>
              </w:rPr>
              <w:t>104.</w:t>
            </w:r>
            <w:r w:rsidRPr="00CB1B13">
              <w:rPr>
                <w:sz w:val="18"/>
                <w:szCs w:val="18"/>
                <w:lang w:val="ro-MD" w:eastAsia="en-US"/>
              </w:rPr>
              <w:t xml:space="preserve"> Dacă un instrument financiar derivat de credit inclus în portofoliul de tranzacţionare face parte dintr-o acoperire internă a riscului, iar protecţia creditului este recunoscută în temeiul capitolului V din Regulamentul nr.112/2018 cu privire la tehnicile de diminuare a riscului de credit utilizate de bănci, băncile aplică una din următoarele abordări:</w:t>
            </w:r>
          </w:p>
          <w:p w14:paraId="176E7A1C" w14:textId="77777777" w:rsidR="00622402" w:rsidRPr="00CB1B13" w:rsidRDefault="00622402" w:rsidP="00622402">
            <w:pPr>
              <w:jc w:val="both"/>
              <w:rPr>
                <w:sz w:val="18"/>
                <w:szCs w:val="18"/>
                <w:lang w:val="ro-MD" w:eastAsia="en-US"/>
              </w:rPr>
            </w:pPr>
            <w:r w:rsidRPr="00CB1B13">
              <w:rPr>
                <w:sz w:val="18"/>
                <w:szCs w:val="18"/>
                <w:lang w:val="ro-MD" w:eastAsia="en-US"/>
              </w:rPr>
              <w:lastRenderedPageBreak/>
              <w:t>1) tratează instrumentul financiar derivat de credit ca şi când nu ar exista risc de contraparte decurgând din poziţia pe instrumentul respectiv;</w:t>
            </w:r>
          </w:p>
          <w:p w14:paraId="044F4D3B" w14:textId="77777777" w:rsidR="00622402" w:rsidRPr="00CB1B13" w:rsidRDefault="00622402" w:rsidP="00622402">
            <w:pPr>
              <w:jc w:val="both"/>
              <w:rPr>
                <w:sz w:val="18"/>
                <w:szCs w:val="18"/>
                <w:lang w:val="ro-MD" w:eastAsia="en-US"/>
              </w:rPr>
            </w:pPr>
            <w:r w:rsidRPr="00CB1B13">
              <w:rPr>
                <w:sz w:val="18"/>
                <w:szCs w:val="18"/>
                <w:lang w:val="ro-MD" w:eastAsia="en-US"/>
              </w:rPr>
              <w:t>2) includ în mod consecvent în calculul cerinţelor de fonduri proprii pentru riscul de credit al contrapărţii toate instrumentele financiare derivate de credit din portofoliul de tranzacţionare care fac parte din acoperiri interne ale riscului sau sunt achiziţionate ca protecţie împotriva unei expuneri la riscul de credit al contrapărţii, dacă protecţia creditului este recunoscută ca eligibilă în conformitate cu Regulamentul nr.112/2018 cu privire la tehnicile de diminuare a riscului de credit utilizate de bănci.</w:t>
            </w:r>
          </w:p>
          <w:p w14:paraId="60E97658" w14:textId="77777777" w:rsidR="00622402" w:rsidRPr="003B14E9" w:rsidRDefault="00622402" w:rsidP="00622402">
            <w:pPr>
              <w:jc w:val="center"/>
              <w:rPr>
                <w:bCs/>
                <w:i/>
                <w:iCs/>
                <w:sz w:val="18"/>
                <w:szCs w:val="18"/>
                <w:lang w:val="ro-MD"/>
              </w:rPr>
            </w:pPr>
          </w:p>
        </w:tc>
        <w:tc>
          <w:tcPr>
            <w:tcW w:w="1160" w:type="dxa"/>
          </w:tcPr>
          <w:p w14:paraId="776DE81B" w14:textId="715287BA" w:rsidR="00622402" w:rsidRPr="003B14E9" w:rsidRDefault="00622402" w:rsidP="00622402">
            <w:pPr>
              <w:jc w:val="both"/>
              <w:rPr>
                <w:sz w:val="18"/>
                <w:szCs w:val="18"/>
                <w:lang w:val="ro-MD"/>
              </w:rPr>
            </w:pPr>
            <w:r w:rsidRPr="003B14E9">
              <w:rPr>
                <w:sz w:val="18"/>
                <w:szCs w:val="18"/>
                <w:lang w:val="ro-MD"/>
              </w:rPr>
              <w:lastRenderedPageBreak/>
              <w:t>Compatibil</w:t>
            </w:r>
          </w:p>
        </w:tc>
        <w:tc>
          <w:tcPr>
            <w:tcW w:w="3041" w:type="dxa"/>
          </w:tcPr>
          <w:p w14:paraId="4E6E415A" w14:textId="77777777" w:rsidR="00622402" w:rsidRPr="003B14E9" w:rsidRDefault="00622402" w:rsidP="00622402">
            <w:pPr>
              <w:rPr>
                <w:sz w:val="18"/>
                <w:szCs w:val="18"/>
                <w:lang w:val="ro-MD"/>
              </w:rPr>
            </w:pPr>
          </w:p>
        </w:tc>
        <w:tc>
          <w:tcPr>
            <w:tcW w:w="1055" w:type="dxa"/>
            <w:tcBorders>
              <w:top w:val="single" w:sz="4" w:space="0" w:color="auto"/>
              <w:bottom w:val="single" w:sz="4" w:space="0" w:color="auto"/>
            </w:tcBorders>
          </w:tcPr>
          <w:p w14:paraId="76CE091C" w14:textId="77777777" w:rsidR="00622402" w:rsidRPr="003B14E9" w:rsidRDefault="00622402" w:rsidP="00622402">
            <w:pPr>
              <w:jc w:val="both"/>
              <w:rPr>
                <w:sz w:val="18"/>
                <w:szCs w:val="18"/>
                <w:lang w:val="ro-MD"/>
              </w:rPr>
            </w:pPr>
          </w:p>
        </w:tc>
        <w:tc>
          <w:tcPr>
            <w:tcW w:w="1330" w:type="dxa"/>
            <w:tcBorders>
              <w:bottom w:val="single" w:sz="4" w:space="0" w:color="auto"/>
            </w:tcBorders>
          </w:tcPr>
          <w:p w14:paraId="59407B32" w14:textId="77777777" w:rsidR="00622402" w:rsidRPr="003B14E9" w:rsidRDefault="00622402" w:rsidP="00622402">
            <w:pPr>
              <w:jc w:val="both"/>
              <w:rPr>
                <w:sz w:val="18"/>
                <w:szCs w:val="18"/>
                <w:lang w:val="ro-MD"/>
              </w:rPr>
            </w:pPr>
          </w:p>
        </w:tc>
      </w:tr>
      <w:tr w:rsidR="00C7058D" w:rsidRPr="003B14E9" w14:paraId="01C53E4A" w14:textId="77777777" w:rsidTr="00604EF1">
        <w:trPr>
          <w:trHeight w:val="918"/>
        </w:trPr>
        <w:tc>
          <w:tcPr>
            <w:tcW w:w="4473" w:type="dxa"/>
          </w:tcPr>
          <w:p w14:paraId="5D38A7A3" w14:textId="6AC2C8FF" w:rsidR="00C7058D" w:rsidRPr="00FA16E9" w:rsidRDefault="00C7058D" w:rsidP="00C7058D">
            <w:pPr>
              <w:autoSpaceDE w:val="0"/>
              <w:autoSpaceDN w:val="0"/>
              <w:adjustRightInd w:val="0"/>
              <w:spacing w:before="60" w:after="60"/>
              <w:jc w:val="center"/>
              <w:rPr>
                <w:rFonts w:eastAsiaTheme="minorHAnsi"/>
                <w:color w:val="000000"/>
                <w:sz w:val="18"/>
                <w:szCs w:val="18"/>
                <w:lang w:val="ro-MD" w:eastAsia="en-US"/>
              </w:rPr>
            </w:pPr>
            <w:r w:rsidRPr="003B14E9">
              <w:rPr>
                <w:rFonts w:eastAsiaTheme="minorHAnsi"/>
                <w:color w:val="000000"/>
                <w:sz w:val="18"/>
                <w:szCs w:val="18"/>
                <w:lang w:val="ro-MD" w:eastAsia="en-US"/>
              </w:rPr>
              <w:lastRenderedPageBreak/>
              <w:t>Secțiunea</w:t>
            </w:r>
            <w:r w:rsidRPr="00FA16E9">
              <w:rPr>
                <w:rFonts w:eastAsiaTheme="minorHAnsi"/>
                <w:color w:val="000000"/>
                <w:sz w:val="18"/>
                <w:szCs w:val="18"/>
                <w:lang w:val="ro-MD" w:eastAsia="en-US"/>
              </w:rPr>
              <w:t xml:space="preserve"> 9</w:t>
            </w:r>
          </w:p>
          <w:p w14:paraId="61840190" w14:textId="77777777" w:rsidR="00C7058D" w:rsidRPr="00FA16E9" w:rsidRDefault="00C7058D" w:rsidP="00C7058D">
            <w:pPr>
              <w:autoSpaceDE w:val="0"/>
              <w:autoSpaceDN w:val="0"/>
              <w:adjustRightInd w:val="0"/>
              <w:spacing w:before="60" w:after="60"/>
              <w:jc w:val="center"/>
              <w:rPr>
                <w:rFonts w:eastAsiaTheme="minorHAnsi"/>
                <w:color w:val="000000"/>
                <w:sz w:val="18"/>
                <w:szCs w:val="18"/>
                <w:lang w:val="ro-MD" w:eastAsia="en-US"/>
              </w:rPr>
            </w:pPr>
            <w:r w:rsidRPr="00FA16E9">
              <w:rPr>
                <w:rFonts w:eastAsiaTheme="minorHAnsi"/>
                <w:b/>
                <w:bCs/>
                <w:color w:val="000000"/>
                <w:sz w:val="18"/>
                <w:szCs w:val="18"/>
                <w:lang w:val="ro-MD" w:eastAsia="en-US"/>
              </w:rPr>
              <w:t>Cerinţele de fonduri proprii</w:t>
            </w:r>
            <w:r w:rsidRPr="003B14E9">
              <w:rPr>
                <w:rFonts w:eastAsiaTheme="minorHAnsi"/>
                <w:b/>
                <w:bCs/>
                <w:color w:val="000000"/>
                <w:sz w:val="18"/>
                <w:szCs w:val="18"/>
                <w:lang w:val="ro-MD" w:eastAsia="en-US"/>
              </w:rPr>
              <w:t xml:space="preserve"> </w:t>
            </w:r>
            <w:r w:rsidRPr="00FA16E9">
              <w:rPr>
                <w:rFonts w:eastAsiaTheme="minorHAnsi"/>
                <w:b/>
                <w:bCs/>
                <w:color w:val="000000"/>
                <w:sz w:val="18"/>
                <w:szCs w:val="18"/>
                <w:lang w:val="ro-MD" w:eastAsia="en-US"/>
              </w:rPr>
              <w:t xml:space="preserve">pentru  </w:t>
            </w:r>
            <w:r w:rsidRPr="003B14E9">
              <w:rPr>
                <w:rFonts w:eastAsiaTheme="minorHAnsi"/>
                <w:b/>
                <w:bCs/>
                <w:color w:val="000000"/>
                <w:sz w:val="18"/>
                <w:szCs w:val="18"/>
                <w:lang w:val="ro-MD" w:eastAsia="en-US"/>
              </w:rPr>
              <w:t>e</w:t>
            </w:r>
            <w:r w:rsidRPr="00FA16E9">
              <w:rPr>
                <w:rFonts w:eastAsiaTheme="minorHAnsi"/>
                <w:b/>
                <w:bCs/>
                <w:color w:val="000000"/>
                <w:sz w:val="18"/>
                <w:szCs w:val="18"/>
                <w:lang w:val="ro-MD" w:eastAsia="en-US"/>
              </w:rPr>
              <w:t>xpunerile faţă de o CPC</w:t>
            </w:r>
          </w:p>
          <w:p w14:paraId="203CD9FD"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i/>
                <w:iCs/>
                <w:color w:val="000000"/>
                <w:sz w:val="18"/>
                <w:szCs w:val="18"/>
                <w:lang w:val="ro-MD" w:eastAsia="en-US"/>
              </w:rPr>
              <w:lastRenderedPageBreak/>
              <w:t xml:space="preserve">Articolul 300 </w:t>
            </w:r>
          </w:p>
          <w:p w14:paraId="59838F3B"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b/>
                <w:bCs/>
                <w:color w:val="000000"/>
                <w:sz w:val="18"/>
                <w:szCs w:val="18"/>
                <w:lang w:val="ro-MD" w:eastAsia="en-US"/>
              </w:rPr>
              <w:t xml:space="preserve">Definiţii </w:t>
            </w:r>
          </w:p>
          <w:p w14:paraId="271ABFD9"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În sensul prezentei secţiuni și al părţii a șaptea, se aplică următoarele definiţii: </w:t>
            </w:r>
          </w:p>
          <w:p w14:paraId="483EB382"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(1) „indisponibil în caz de faliment”, cu privire la activele clienţilor, înseamnă existenţa unor dispoziţii eficace conform cărora activele respective fie nu vor fi disponibile creditorilor unei CPC sau unui membru compensator, în cazul insolvenţei CPC în cauză sau, respectiv, a membrului compensator în cauză, fie nu vor fi disponibile membrului compensator pentru a acoperi pierderile înregistrate ca urmare a nerambursării de către un client sau mai mulţi clienţi, alţii decât cei care au pus la dispoziţie activele respective; </w:t>
            </w:r>
          </w:p>
          <w:p w14:paraId="28796D9A"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(2) „tranzacţie legată de o CPC” înseamnă un contract sau o tranzacţie, enumerate la articolul 301 alineatul (1), între un client și un membru compensator care sunt direct legate de un contract sau de o tranzacţie enumerate la alineatul respectiv între membrul compensator respectiv și o CPC; </w:t>
            </w:r>
          </w:p>
          <w:p w14:paraId="556E6B96"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(3) „membru compensator” înseamnă membru compensator astfel cum este definit la articolul 2 punctul 14 din Regulamentul (UE) nr. 648/2012; </w:t>
            </w:r>
          </w:p>
          <w:p w14:paraId="08222DA4"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(4) „client” înseamnă client astfel cum este definit la articolul 2 punctul 15 din Regulamentul (UE) nr. 648/2012 sau o întreprindere care a stabilit acorduri de compensare indirectă cu un membru compensator, în conformitate cu articolul 4 alineatul (3) din regulamentul menţionat; </w:t>
            </w:r>
          </w:p>
          <w:p w14:paraId="223D9F62"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(5) „tranzacţie în numerar” înseamnă tranzacţie cu numerar, titluri de datorie sau titluri de capital, o tranzacţie de schimb valutar la vedere sau o tranzacţie cu mărfuri la vedere; cu toate acestea, tranzacţiile de răscumpărare, tranzacţiile de dare cu împrumut de titluri de valoare sau </w:t>
            </w:r>
            <w:r w:rsidRPr="00FA16E9">
              <w:rPr>
                <w:rFonts w:eastAsiaTheme="minorHAnsi"/>
                <w:color w:val="000000"/>
                <w:sz w:val="18"/>
                <w:szCs w:val="18"/>
                <w:lang w:val="ro-MD" w:eastAsia="en-US"/>
              </w:rPr>
              <w:lastRenderedPageBreak/>
              <w:t xml:space="preserve">de mărfuri și tranzacţiile de luare cu împrumut de titluri de valoare sau de mărfuri nu sunt tranzacţii în numerar; </w:t>
            </w:r>
          </w:p>
          <w:p w14:paraId="31182BEC"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(6) „mecanism indirect de compensare” înseamnă un mecanism care îndeplinește condiţiile prevăzute la articolul 4 alineatul (3) al doilea paragraf din Regulamentul (UE) nr. 648/2012; </w:t>
            </w:r>
          </w:p>
          <w:p w14:paraId="0759D4DB"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(7) „client de nivel superior” înseamnă o entitate care furnizează servicii de compensare unui client de nivel inferior; </w:t>
            </w:r>
          </w:p>
          <w:p w14:paraId="1C477A0D"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(8) „client de nivel inferior” înseamnă o entitate care accesează serviciile unei CPC prin intermediul unui client de nivel superior; </w:t>
            </w:r>
          </w:p>
          <w:p w14:paraId="7D2209CE"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(9) „structură a clientelei pe mai multe niveluri” înseamnă un mecanism indirect de compensare în temeiul căruia unei instituţii îi sunt furnizate servicii de compensare de către o entitate care nu este un membru compensator, ci este la rândul său client al unui membru compensator sau al unui client de nivel superior; </w:t>
            </w:r>
          </w:p>
          <w:p w14:paraId="1DDF0FCF" w14:textId="77777777" w:rsidR="00C7058D" w:rsidRPr="00FA16E9" w:rsidRDefault="00C7058D" w:rsidP="00C7058D">
            <w:pPr>
              <w:autoSpaceDE w:val="0"/>
              <w:autoSpaceDN w:val="0"/>
              <w:adjustRightInd w:val="0"/>
              <w:spacing w:before="60" w:after="60"/>
              <w:rPr>
                <w:rFonts w:eastAsiaTheme="minorHAnsi"/>
                <w:color w:val="000000"/>
                <w:sz w:val="18"/>
                <w:szCs w:val="18"/>
                <w:lang w:val="ro-MD" w:eastAsia="en-US"/>
              </w:rPr>
            </w:pPr>
            <w:r w:rsidRPr="00FA16E9">
              <w:rPr>
                <w:rFonts w:eastAsiaTheme="minorHAnsi"/>
                <w:color w:val="000000"/>
                <w:sz w:val="18"/>
                <w:szCs w:val="18"/>
                <w:lang w:val="ro-MD" w:eastAsia="en-US"/>
              </w:rPr>
              <w:t xml:space="preserve">(10) „contribuţie nefinanţată la un fond de garantare” înseamnă o contribuţie pe care o instituţie care acţionează ca membru compensator s-a angajat contractual să o furnizeze unei CPC după ce aceasta din urmă și-a epuizat fondul de garantare pentru a acoperi pierderile suportate ca urmare a intrării în stare de nerambursare a unuia sau a mai multora dintre membrii săi compensatori; </w:t>
            </w:r>
          </w:p>
          <w:p w14:paraId="64EE9AF8" w14:textId="116E484D" w:rsidR="00C7058D" w:rsidRPr="003B14E9" w:rsidRDefault="00C7058D" w:rsidP="00C7058D">
            <w:pPr>
              <w:pStyle w:val="title-article-norm"/>
              <w:jc w:val="left"/>
              <w:rPr>
                <w:i w:val="0"/>
                <w:sz w:val="18"/>
                <w:szCs w:val="18"/>
                <w:lang w:val="ro-MD"/>
              </w:rPr>
            </w:pPr>
            <w:r w:rsidRPr="003B14E9">
              <w:rPr>
                <w:rFonts w:eastAsiaTheme="minorHAnsi"/>
                <w:i w:val="0"/>
                <w:iCs w:val="0"/>
                <w:color w:val="000000"/>
                <w:sz w:val="18"/>
                <w:szCs w:val="18"/>
                <w:lang w:val="ro-MD"/>
              </w:rPr>
              <w:t>(11) „tranzacţie de dare sau luare cu împrumut de depozite garantată integral” înseamnă o tranzacţie de piaţă monetară acoperită integral cu garanţii reale în cadrul căreia două contrapărţi fac schimb de depozite și o CPC se interpune între acestea pentru a asigura executarea obligaţiilor de plată ale contrapărţilor respective.</w:t>
            </w:r>
          </w:p>
        </w:tc>
        <w:tc>
          <w:tcPr>
            <w:tcW w:w="4425" w:type="dxa"/>
            <w:shd w:val="clear" w:color="auto" w:fill="auto"/>
          </w:tcPr>
          <w:p w14:paraId="1A0171F4" w14:textId="77777777" w:rsidR="00C7058D" w:rsidRPr="00231F49" w:rsidRDefault="00C7058D" w:rsidP="00C7058D">
            <w:pPr>
              <w:jc w:val="center"/>
              <w:rPr>
                <w:b/>
                <w:sz w:val="18"/>
                <w:szCs w:val="18"/>
                <w:lang w:val="ro-MD"/>
              </w:rPr>
            </w:pPr>
            <w:r w:rsidRPr="00231F49">
              <w:rPr>
                <w:b/>
                <w:sz w:val="18"/>
                <w:szCs w:val="18"/>
                <w:lang w:val="ro-MD"/>
              </w:rPr>
              <w:lastRenderedPageBreak/>
              <w:t xml:space="preserve">Capitolul I. Dispoziții generale </w:t>
            </w:r>
          </w:p>
          <w:p w14:paraId="447D6054" w14:textId="77777777" w:rsidR="00C7058D" w:rsidRPr="00231F49" w:rsidRDefault="00C7058D" w:rsidP="00C7058D">
            <w:pPr>
              <w:jc w:val="center"/>
              <w:rPr>
                <w:i/>
                <w:sz w:val="18"/>
                <w:szCs w:val="18"/>
                <w:lang w:val="ro-MD"/>
              </w:rPr>
            </w:pPr>
          </w:p>
          <w:p w14:paraId="18E54352" w14:textId="77777777" w:rsidR="00C7058D" w:rsidRPr="00231F49" w:rsidRDefault="00C7058D" w:rsidP="00C7058D">
            <w:pPr>
              <w:pStyle w:val="CM4"/>
              <w:tabs>
                <w:tab w:val="left" w:pos="150"/>
              </w:tabs>
              <w:jc w:val="center"/>
              <w:rPr>
                <w:rFonts w:ascii="Times New Roman" w:hAnsi="Times New Roman"/>
                <w:i/>
                <w:color w:val="0000CC"/>
                <w:sz w:val="18"/>
                <w:szCs w:val="18"/>
                <w:lang w:val="ro-MD"/>
              </w:rPr>
            </w:pPr>
            <w:r w:rsidRPr="00231F49">
              <w:rPr>
                <w:rFonts w:ascii="Times New Roman" w:hAnsi="Times New Roman"/>
                <w:i/>
                <w:sz w:val="18"/>
                <w:szCs w:val="18"/>
                <w:lang w:val="ro-MD"/>
              </w:rPr>
              <w:t>Secțiunea 1. Domeniu de aplicare şi noţiuni</w:t>
            </w:r>
          </w:p>
          <w:p w14:paraId="2E545B3C" w14:textId="77777777" w:rsidR="00C7058D" w:rsidRPr="00231F49" w:rsidRDefault="00C7058D" w:rsidP="00C7058D">
            <w:pPr>
              <w:jc w:val="center"/>
              <w:rPr>
                <w:i/>
                <w:sz w:val="18"/>
                <w:szCs w:val="18"/>
                <w:lang w:val="ro-MD"/>
              </w:rPr>
            </w:pPr>
          </w:p>
          <w:p w14:paraId="753CDA58" w14:textId="77777777" w:rsidR="00C7058D" w:rsidRPr="00231F49" w:rsidRDefault="00C7058D" w:rsidP="00C7058D">
            <w:pPr>
              <w:tabs>
                <w:tab w:val="left" w:pos="540"/>
              </w:tabs>
              <w:jc w:val="both"/>
              <w:rPr>
                <w:color w:val="000000"/>
                <w:sz w:val="18"/>
                <w:szCs w:val="18"/>
                <w:lang w:val="ro-MD"/>
              </w:rPr>
            </w:pPr>
            <w:r w:rsidRPr="00231F49">
              <w:rPr>
                <w:b/>
                <w:bCs/>
                <w:color w:val="000000"/>
                <w:sz w:val="18"/>
                <w:szCs w:val="18"/>
                <w:lang w:val="ro-MD"/>
              </w:rPr>
              <w:lastRenderedPageBreak/>
              <w:t>3.</w:t>
            </w:r>
            <w:r w:rsidRPr="00231F49">
              <w:rPr>
                <w:color w:val="000000"/>
                <w:sz w:val="18"/>
                <w:szCs w:val="18"/>
                <w:lang w:val="ro-MD"/>
              </w:rPr>
              <w:t xml:space="preserve"> În sensul prezentului regulament se utilizează următoarele noţiuni:</w:t>
            </w:r>
          </w:p>
          <w:p w14:paraId="766D23EF" w14:textId="07A69B96" w:rsidR="00C7058D" w:rsidRPr="00231F49" w:rsidRDefault="00C7058D" w:rsidP="00C7058D">
            <w:pPr>
              <w:ind w:firstLine="567"/>
              <w:jc w:val="both"/>
              <w:rPr>
                <w:sz w:val="18"/>
                <w:szCs w:val="18"/>
                <w:lang w:val="ro-RO" w:eastAsia="en-US"/>
              </w:rPr>
            </w:pPr>
            <w:r w:rsidRPr="00231F49">
              <w:rPr>
                <w:i/>
                <w:iCs/>
                <w:sz w:val="18"/>
                <w:szCs w:val="18"/>
                <w:lang w:val="ro-RO" w:eastAsia="en-US"/>
              </w:rPr>
              <w:t>...</w:t>
            </w:r>
          </w:p>
          <w:p w14:paraId="54087345" w14:textId="77777777" w:rsidR="00C7058D" w:rsidRPr="00231F49" w:rsidRDefault="00C7058D" w:rsidP="00C7058D">
            <w:pPr>
              <w:ind w:firstLine="567"/>
              <w:jc w:val="both"/>
              <w:rPr>
                <w:sz w:val="18"/>
                <w:szCs w:val="18"/>
                <w:lang w:val="ro-RO" w:eastAsia="en-US"/>
              </w:rPr>
            </w:pPr>
            <w:r w:rsidRPr="00231F49">
              <w:rPr>
                <w:i/>
                <w:iCs/>
                <w:sz w:val="18"/>
                <w:szCs w:val="18"/>
                <w:lang w:val="ro-RO" w:eastAsia="en-US"/>
              </w:rPr>
              <w:t xml:space="preserve">client </w:t>
            </w:r>
            <w:r w:rsidRPr="00231F49">
              <w:rPr>
                <w:sz w:val="18"/>
                <w:szCs w:val="18"/>
                <w:lang w:val="ro-RO" w:eastAsia="en-US"/>
              </w:rPr>
              <w:t>- o întreprindere a cărei relație contractuală cu un membru compensator al unei CPC îi permite să își compenseze tranzacțiile prin CPC respectivă;</w:t>
            </w:r>
          </w:p>
          <w:p w14:paraId="633B0A30" w14:textId="77777777" w:rsidR="00C7058D" w:rsidRPr="00231F49" w:rsidRDefault="00C7058D" w:rsidP="00C7058D">
            <w:pPr>
              <w:ind w:firstLine="567"/>
              <w:jc w:val="both"/>
              <w:rPr>
                <w:sz w:val="18"/>
                <w:szCs w:val="18"/>
                <w:lang w:val="ro-RO" w:eastAsia="en-US"/>
              </w:rPr>
            </w:pPr>
            <w:r w:rsidRPr="00231F49">
              <w:rPr>
                <w:i/>
                <w:iCs/>
                <w:sz w:val="18"/>
                <w:szCs w:val="18"/>
                <w:lang w:val="ro-RO" w:eastAsia="en-US"/>
              </w:rPr>
              <w:t>client de nivel superior</w:t>
            </w:r>
            <w:r w:rsidRPr="00231F49">
              <w:rPr>
                <w:sz w:val="18"/>
                <w:szCs w:val="18"/>
                <w:lang w:val="ro-RO" w:eastAsia="en-US"/>
              </w:rPr>
              <w:t xml:space="preserve"> - o entitate care furnizează servicii de compensare unui client de nivel inferior;</w:t>
            </w:r>
          </w:p>
          <w:p w14:paraId="6B02B165" w14:textId="77777777" w:rsidR="00C7058D" w:rsidRPr="00231F49" w:rsidRDefault="00C7058D" w:rsidP="00C7058D">
            <w:pPr>
              <w:ind w:firstLine="567"/>
              <w:jc w:val="both"/>
              <w:rPr>
                <w:sz w:val="18"/>
                <w:szCs w:val="18"/>
                <w:lang w:val="ro-RO" w:eastAsia="en-US"/>
              </w:rPr>
            </w:pPr>
            <w:r w:rsidRPr="00231F49">
              <w:rPr>
                <w:i/>
                <w:iCs/>
                <w:sz w:val="18"/>
                <w:szCs w:val="18"/>
                <w:lang w:val="ro-RO" w:eastAsia="en-US"/>
              </w:rPr>
              <w:t>client de nivel inferior</w:t>
            </w:r>
            <w:r w:rsidRPr="00231F49">
              <w:rPr>
                <w:sz w:val="18"/>
                <w:szCs w:val="18"/>
                <w:lang w:val="ro-RO" w:eastAsia="en-US"/>
              </w:rPr>
              <w:t xml:space="preserve"> - o entitate care accesează serviciile unei CPC prin intermediul unui client de nivel superior;</w:t>
            </w:r>
          </w:p>
          <w:p w14:paraId="5F873102" w14:textId="3F4DD830" w:rsidR="00C7058D" w:rsidRPr="00231F49" w:rsidRDefault="00C7058D" w:rsidP="00C7058D">
            <w:pPr>
              <w:ind w:firstLine="567"/>
              <w:jc w:val="both"/>
              <w:rPr>
                <w:sz w:val="18"/>
                <w:szCs w:val="18"/>
                <w:lang w:val="ro-RO" w:eastAsia="en-US"/>
              </w:rPr>
            </w:pPr>
            <w:r w:rsidRPr="00231F49">
              <w:rPr>
                <w:i/>
                <w:iCs/>
                <w:sz w:val="18"/>
                <w:szCs w:val="18"/>
                <w:lang w:val="ro-RO" w:eastAsia="en-US"/>
              </w:rPr>
              <w:t>...</w:t>
            </w:r>
          </w:p>
          <w:p w14:paraId="607005D9" w14:textId="77777777" w:rsidR="00C7058D" w:rsidRPr="00231F49" w:rsidRDefault="00C7058D" w:rsidP="00C7058D">
            <w:pPr>
              <w:ind w:firstLine="567"/>
              <w:jc w:val="both"/>
              <w:rPr>
                <w:sz w:val="18"/>
                <w:szCs w:val="18"/>
                <w:lang w:val="ro-RO" w:eastAsia="en-US"/>
              </w:rPr>
            </w:pPr>
            <w:r w:rsidRPr="00231F49">
              <w:rPr>
                <w:i/>
                <w:iCs/>
                <w:sz w:val="18"/>
                <w:szCs w:val="18"/>
                <w:lang w:val="ro-RO" w:eastAsia="en-US"/>
              </w:rPr>
              <w:t>contribuţie nefinanţată la un fond de garantare</w:t>
            </w:r>
            <w:r w:rsidRPr="00231F49">
              <w:rPr>
                <w:sz w:val="18"/>
                <w:szCs w:val="18"/>
                <w:lang w:val="ro-RO" w:eastAsia="en-US"/>
              </w:rPr>
              <w:t xml:space="preserve"> - o contribuţie pe care o bancă care acţionează ca membru compensator s-a angajat contractual să o furnizeze unei CPC după ce aceasta din urmă și-a epuizat fondul de garantare pentru a acoperi pierderile suportate ca urmare a intrării în stare de nerambursare a unuia sau a mai multora dintre membrii săi compensatori;</w:t>
            </w:r>
          </w:p>
          <w:p w14:paraId="50C9A9F5" w14:textId="3DB13850" w:rsidR="00C7058D" w:rsidRPr="00231F49" w:rsidRDefault="00C7058D" w:rsidP="00C7058D">
            <w:pPr>
              <w:ind w:firstLine="567"/>
              <w:jc w:val="both"/>
              <w:rPr>
                <w:sz w:val="18"/>
                <w:szCs w:val="18"/>
                <w:lang w:val="ro-RO" w:eastAsia="en-US"/>
              </w:rPr>
            </w:pPr>
            <w:r w:rsidRPr="00231F49">
              <w:rPr>
                <w:sz w:val="18"/>
                <w:szCs w:val="18"/>
                <w:lang w:val="ro-RO" w:eastAsia="en-US"/>
              </w:rPr>
              <w:t>...</w:t>
            </w:r>
          </w:p>
          <w:p w14:paraId="6389FB76" w14:textId="77777777" w:rsidR="00C7058D" w:rsidRPr="00231F49" w:rsidRDefault="00C7058D" w:rsidP="00C7058D">
            <w:pPr>
              <w:ind w:firstLine="567"/>
              <w:jc w:val="both"/>
              <w:rPr>
                <w:sz w:val="18"/>
                <w:szCs w:val="18"/>
                <w:lang w:val="ro-RO" w:eastAsia="en-US"/>
              </w:rPr>
            </w:pPr>
            <w:r w:rsidRPr="00231F49">
              <w:rPr>
                <w:i/>
                <w:iCs/>
                <w:sz w:val="18"/>
                <w:szCs w:val="18"/>
                <w:lang w:val="ro-RO" w:eastAsia="en-US"/>
              </w:rPr>
              <w:t>indisponibil în caz de faliment</w:t>
            </w:r>
            <w:r w:rsidRPr="00231F49">
              <w:rPr>
                <w:sz w:val="18"/>
                <w:szCs w:val="18"/>
                <w:lang w:val="ro-RO" w:eastAsia="en-US"/>
              </w:rPr>
              <w:t xml:space="preserve"> - cu privire la activele clienţilor, înseamnă existenţa unor dispoziţii eficace conform cărora activele respective fie nu vor fi disponibile creditorilor unei CPC sau unui membru compensator, în cazul insolvenţei CPC în cauză sau, respectiv, a membrului compensator în cauză, fie nu vor fi disponibile membrului compensator pentru a acoperi pierderile înregistrate ca urmare a nerambursării de către un client sau mai mulţi clienţi, alţii decât cei care au pus la dispoziţie activele respective;</w:t>
            </w:r>
          </w:p>
          <w:p w14:paraId="3F80C771" w14:textId="77777777" w:rsidR="00C7058D" w:rsidRPr="00231F49" w:rsidRDefault="00C7058D" w:rsidP="00C7058D">
            <w:pPr>
              <w:ind w:firstLine="567"/>
              <w:jc w:val="both"/>
              <w:rPr>
                <w:sz w:val="18"/>
                <w:szCs w:val="18"/>
                <w:lang w:val="ro-RO" w:eastAsia="en-US"/>
              </w:rPr>
            </w:pPr>
            <w:r w:rsidRPr="00231F49">
              <w:rPr>
                <w:i/>
                <w:iCs/>
                <w:sz w:val="18"/>
                <w:szCs w:val="18"/>
                <w:lang w:val="ro-RO" w:eastAsia="en-US"/>
              </w:rPr>
              <w:t>membru compensator</w:t>
            </w:r>
            <w:r w:rsidRPr="00231F49">
              <w:rPr>
                <w:sz w:val="18"/>
                <w:szCs w:val="18"/>
                <w:lang w:val="ro-RO" w:eastAsia="en-US"/>
              </w:rPr>
              <w:t xml:space="preserve"> - o persoană juridică care participă în cadrul unei CPC şi care răspunde de executarea obligaţiilor financiare care decurg din această participare;</w:t>
            </w:r>
          </w:p>
          <w:p w14:paraId="00E03BE5" w14:textId="0743C73A" w:rsidR="00C7058D" w:rsidRPr="00231F49" w:rsidRDefault="00C7058D" w:rsidP="00C7058D">
            <w:pPr>
              <w:ind w:firstLine="567"/>
              <w:jc w:val="both"/>
              <w:rPr>
                <w:sz w:val="18"/>
                <w:szCs w:val="18"/>
                <w:lang w:val="ro-MD" w:eastAsia="en-US"/>
              </w:rPr>
            </w:pPr>
            <w:r w:rsidRPr="00231F49">
              <w:rPr>
                <w:i/>
                <w:iCs/>
                <w:sz w:val="18"/>
                <w:szCs w:val="18"/>
                <w:lang w:val="ro-RO" w:eastAsia="en-US"/>
              </w:rPr>
              <w:t>..</w:t>
            </w:r>
          </w:p>
          <w:p w14:paraId="3566765E" w14:textId="77777777" w:rsidR="00C7058D" w:rsidRPr="00231F49" w:rsidRDefault="00C7058D" w:rsidP="00C7058D">
            <w:pPr>
              <w:ind w:firstLine="567"/>
              <w:jc w:val="both"/>
              <w:rPr>
                <w:sz w:val="18"/>
                <w:szCs w:val="18"/>
                <w:lang w:val="ro-MD" w:eastAsia="en-US"/>
              </w:rPr>
            </w:pPr>
            <w:r w:rsidRPr="00231F49">
              <w:rPr>
                <w:i/>
                <w:iCs/>
                <w:sz w:val="18"/>
                <w:szCs w:val="18"/>
                <w:lang w:val="ro-MD" w:eastAsia="en-US"/>
              </w:rPr>
              <w:lastRenderedPageBreak/>
              <w:t>structură a clientelei pe mai multe niveluri</w:t>
            </w:r>
            <w:r w:rsidRPr="00231F49">
              <w:rPr>
                <w:sz w:val="18"/>
                <w:szCs w:val="18"/>
                <w:lang w:val="ro-MD" w:eastAsia="en-US"/>
              </w:rPr>
              <w:t xml:space="preserve"> - un mecanism indirect de compensare în temeiul căruia unei bănci îi sunt furnizate servicii de compensare de către o entitate care nu este un membru compensator, ci este la rândul său client al unui membru compensator sau al unui client de nivel superior;</w:t>
            </w:r>
          </w:p>
          <w:p w14:paraId="3DEF2974" w14:textId="70D6C64B" w:rsidR="00C7058D" w:rsidRPr="00231F49" w:rsidRDefault="00C7058D" w:rsidP="00C7058D">
            <w:pPr>
              <w:ind w:firstLine="567"/>
              <w:jc w:val="both"/>
              <w:rPr>
                <w:sz w:val="18"/>
                <w:szCs w:val="18"/>
                <w:lang w:val="ro-MD" w:eastAsia="en-US"/>
              </w:rPr>
            </w:pPr>
            <w:r w:rsidRPr="00231F49">
              <w:rPr>
                <w:i/>
                <w:iCs/>
                <w:sz w:val="18"/>
                <w:szCs w:val="18"/>
                <w:lang w:val="ro-MD" w:eastAsia="en-US"/>
              </w:rPr>
              <w:t>...</w:t>
            </w:r>
          </w:p>
          <w:p w14:paraId="1B161CDC" w14:textId="77777777" w:rsidR="00C7058D" w:rsidRPr="00231F49" w:rsidRDefault="00C7058D" w:rsidP="00C7058D">
            <w:pPr>
              <w:ind w:firstLine="567"/>
              <w:jc w:val="both"/>
              <w:rPr>
                <w:sz w:val="18"/>
                <w:szCs w:val="18"/>
                <w:lang w:val="ro-MD" w:eastAsia="en-US"/>
              </w:rPr>
            </w:pPr>
            <w:r w:rsidRPr="00231F49">
              <w:rPr>
                <w:i/>
                <w:iCs/>
                <w:sz w:val="18"/>
                <w:szCs w:val="18"/>
                <w:lang w:val="ro-MD" w:eastAsia="en-US"/>
              </w:rPr>
              <w:t>tranzacţie de dare sau luare cu împrumut de depozite garantată integral</w:t>
            </w:r>
            <w:r w:rsidRPr="00231F49">
              <w:rPr>
                <w:sz w:val="18"/>
                <w:szCs w:val="18"/>
                <w:lang w:val="ro-MD" w:eastAsia="en-US"/>
              </w:rPr>
              <w:t xml:space="preserve"> - o tranzacţie de piaţă monetară acoperită integral cu garanţii reale în cadrul căreia două contrapărţi fac schimb de depozite și o CPC se interpune între acestea pentru a asigura executarea obligaţiilor de plată ale contrapărţilor respective;</w:t>
            </w:r>
          </w:p>
          <w:p w14:paraId="3A5DF5F8" w14:textId="77777777" w:rsidR="00C7058D" w:rsidRPr="00231F49" w:rsidRDefault="00C7058D" w:rsidP="00C7058D">
            <w:pPr>
              <w:ind w:firstLine="567"/>
              <w:jc w:val="both"/>
              <w:rPr>
                <w:sz w:val="18"/>
                <w:szCs w:val="18"/>
                <w:lang w:val="ro-MD" w:eastAsia="en-US"/>
              </w:rPr>
            </w:pPr>
            <w:r w:rsidRPr="00231F49">
              <w:rPr>
                <w:i/>
                <w:iCs/>
                <w:sz w:val="18"/>
                <w:szCs w:val="18"/>
                <w:lang w:val="ro-MD" w:eastAsia="en-US"/>
              </w:rPr>
              <w:t>tranzacţie legată de o CPC</w:t>
            </w:r>
            <w:r w:rsidRPr="00231F49">
              <w:rPr>
                <w:sz w:val="18"/>
                <w:szCs w:val="18"/>
                <w:lang w:val="ro-MD" w:eastAsia="en-US"/>
              </w:rPr>
              <w:t xml:space="preserve"> - un contract sau o tranzacţie, enumerate la punctul 105, între un client și un membru compensator care sunt direct legate de un contract sau de o tranzacţie enumerate la alineatul respectiv între membrul compensator respectiv și o CPC;</w:t>
            </w:r>
          </w:p>
          <w:p w14:paraId="41B200F6" w14:textId="77777777" w:rsidR="00C7058D" w:rsidRPr="00231F49" w:rsidRDefault="00C7058D" w:rsidP="00C7058D">
            <w:pPr>
              <w:ind w:firstLine="567"/>
              <w:jc w:val="both"/>
              <w:rPr>
                <w:sz w:val="18"/>
                <w:szCs w:val="18"/>
                <w:lang w:val="ro-MD" w:eastAsia="en-US"/>
              </w:rPr>
            </w:pPr>
            <w:r w:rsidRPr="00231F49">
              <w:rPr>
                <w:i/>
                <w:iCs/>
                <w:sz w:val="18"/>
                <w:szCs w:val="18"/>
                <w:lang w:val="ro-MD" w:eastAsia="en-US"/>
              </w:rPr>
              <w:t>tranzacţie în numerar</w:t>
            </w:r>
            <w:r w:rsidRPr="00231F49">
              <w:rPr>
                <w:sz w:val="18"/>
                <w:szCs w:val="18"/>
                <w:lang w:val="ro-MD" w:eastAsia="en-US"/>
              </w:rPr>
              <w:t xml:space="preserve"> - tranzacţie cu numerar, titluri de datorie sau titluri de capital, o tranzacţie de schimb valutar la vedere sau o tranzacţie cu mărfuri la vedere; cu toate acestea, tranzacţiile de răscumpărare, tranzacţiile de dare cu împrumut de titluri de valoare sau de mărfuri și tranzacţiile de luare cu împrumut de titluri de valoare sau de mărfuri nu sunt tranzacţii în numerar;</w:t>
            </w:r>
          </w:p>
          <w:p w14:paraId="64DBBD59" w14:textId="677EE580" w:rsidR="00C7058D" w:rsidRPr="00231F49" w:rsidRDefault="00C7058D" w:rsidP="00C7058D">
            <w:pPr>
              <w:ind w:firstLine="567"/>
              <w:jc w:val="both"/>
              <w:rPr>
                <w:sz w:val="18"/>
                <w:szCs w:val="18"/>
                <w:lang w:val="ro-MD" w:eastAsia="en-US"/>
              </w:rPr>
            </w:pPr>
            <w:r w:rsidRPr="00231F49">
              <w:rPr>
                <w:i/>
                <w:iCs/>
                <w:sz w:val="18"/>
                <w:szCs w:val="18"/>
                <w:lang w:val="ro-MD" w:eastAsia="en-US"/>
              </w:rPr>
              <w:t>...</w:t>
            </w:r>
          </w:p>
          <w:p w14:paraId="30BBFD21" w14:textId="77777777" w:rsidR="00C7058D" w:rsidRPr="00231F49" w:rsidRDefault="00C7058D" w:rsidP="00C7058D">
            <w:pPr>
              <w:jc w:val="center"/>
              <w:rPr>
                <w:b/>
                <w:bCs/>
                <w:sz w:val="18"/>
                <w:szCs w:val="18"/>
                <w:lang w:val="ro-MD" w:eastAsia="en-US"/>
              </w:rPr>
            </w:pPr>
          </w:p>
        </w:tc>
        <w:tc>
          <w:tcPr>
            <w:tcW w:w="1160" w:type="dxa"/>
          </w:tcPr>
          <w:p w14:paraId="36EA9715" w14:textId="29C71D0C" w:rsidR="00C7058D" w:rsidRPr="003B14E9" w:rsidRDefault="00C7058D" w:rsidP="00C7058D">
            <w:pPr>
              <w:jc w:val="both"/>
              <w:rPr>
                <w:sz w:val="18"/>
                <w:szCs w:val="18"/>
                <w:highlight w:val="green"/>
                <w:lang w:val="ro-MD"/>
              </w:rPr>
            </w:pPr>
            <w:r w:rsidRPr="003B14E9">
              <w:rPr>
                <w:sz w:val="18"/>
                <w:szCs w:val="18"/>
                <w:lang w:val="ro-MD"/>
              </w:rPr>
              <w:lastRenderedPageBreak/>
              <w:t>Parțial compatibil</w:t>
            </w:r>
          </w:p>
        </w:tc>
        <w:tc>
          <w:tcPr>
            <w:tcW w:w="3041" w:type="dxa"/>
          </w:tcPr>
          <w:p w14:paraId="085A1C49" w14:textId="77777777" w:rsidR="00C7058D" w:rsidRPr="003B14E9" w:rsidRDefault="00C7058D" w:rsidP="00C7058D">
            <w:pPr>
              <w:rPr>
                <w:sz w:val="18"/>
                <w:szCs w:val="18"/>
                <w:lang w:val="ro-RO"/>
              </w:rPr>
            </w:pPr>
            <w:r w:rsidRPr="003B14E9">
              <w:rPr>
                <w:sz w:val="18"/>
                <w:szCs w:val="18"/>
                <w:lang w:val="ro-MD"/>
              </w:rPr>
              <w:t xml:space="preserve">Termenii care nu au fost </w:t>
            </w:r>
            <w:r w:rsidRPr="003B14E9">
              <w:rPr>
                <w:sz w:val="18"/>
                <w:szCs w:val="18"/>
                <w:lang w:val="ro-RO"/>
              </w:rPr>
              <w:t>transpuși, se vor transpune la o etapă ulterioară – în funcție de necesitatea termenilor respectivi.</w:t>
            </w:r>
          </w:p>
          <w:p w14:paraId="60B2CE07" w14:textId="56B2119A" w:rsidR="00C7058D" w:rsidRPr="003B14E9" w:rsidRDefault="00C7058D" w:rsidP="00C7058D">
            <w:pPr>
              <w:rPr>
                <w:sz w:val="18"/>
                <w:szCs w:val="18"/>
                <w:highlight w:val="green"/>
                <w:lang w:val="ro-MD"/>
              </w:rPr>
            </w:pPr>
          </w:p>
        </w:tc>
        <w:tc>
          <w:tcPr>
            <w:tcW w:w="1055" w:type="dxa"/>
            <w:tcBorders>
              <w:top w:val="single" w:sz="4" w:space="0" w:color="auto"/>
              <w:bottom w:val="single" w:sz="4" w:space="0" w:color="auto"/>
            </w:tcBorders>
          </w:tcPr>
          <w:p w14:paraId="4696D4BC" w14:textId="77777777" w:rsidR="00C7058D" w:rsidRPr="003B14E9" w:rsidRDefault="00C7058D" w:rsidP="00C7058D">
            <w:pPr>
              <w:jc w:val="both"/>
              <w:rPr>
                <w:sz w:val="18"/>
                <w:szCs w:val="18"/>
                <w:lang w:val="ro-MD"/>
              </w:rPr>
            </w:pPr>
          </w:p>
        </w:tc>
        <w:tc>
          <w:tcPr>
            <w:tcW w:w="1330" w:type="dxa"/>
            <w:tcBorders>
              <w:bottom w:val="single" w:sz="4" w:space="0" w:color="auto"/>
            </w:tcBorders>
          </w:tcPr>
          <w:p w14:paraId="236C033F" w14:textId="77777777" w:rsidR="00C7058D" w:rsidRPr="003B14E9" w:rsidRDefault="00C7058D" w:rsidP="00C7058D">
            <w:pPr>
              <w:jc w:val="both"/>
              <w:rPr>
                <w:sz w:val="18"/>
                <w:szCs w:val="18"/>
                <w:lang w:val="ro-MD"/>
              </w:rPr>
            </w:pPr>
          </w:p>
        </w:tc>
      </w:tr>
      <w:tr w:rsidR="0001798B" w:rsidRPr="003B14E9" w14:paraId="35D642AB" w14:textId="77777777" w:rsidTr="00604EF1">
        <w:trPr>
          <w:trHeight w:val="918"/>
        </w:trPr>
        <w:tc>
          <w:tcPr>
            <w:tcW w:w="4473" w:type="dxa"/>
          </w:tcPr>
          <w:p w14:paraId="779F5CE8" w14:textId="08646DD4"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i/>
                <w:iCs/>
                <w:color w:val="000000"/>
                <w:sz w:val="19"/>
                <w:szCs w:val="19"/>
                <w:lang w:val="ro-MD" w:eastAsia="en-US"/>
              </w:rPr>
              <w:lastRenderedPageBreak/>
              <w:t xml:space="preserve">Articolul 301 </w:t>
            </w:r>
            <w:r w:rsidRPr="00FA16E9">
              <w:rPr>
                <w:rFonts w:eastAsiaTheme="minorHAnsi"/>
                <w:b/>
                <w:bCs/>
                <w:color w:val="000000"/>
                <w:sz w:val="19"/>
                <w:szCs w:val="19"/>
                <w:lang w:val="ro-MD" w:eastAsia="en-US"/>
              </w:rPr>
              <w:t xml:space="preserve">Domeniul de aplicare material </w:t>
            </w:r>
          </w:p>
          <w:p w14:paraId="37BC3415" w14:textId="77777777"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(1) Prezenta secţiune se aplică următoarelor contracte și tranzacţii, atât timp cât sunt în curs de desfășurare cu o CPC: </w:t>
            </w:r>
          </w:p>
          <w:p w14:paraId="4A26D096" w14:textId="77777777"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(a) contractelor derivate enumerate în anexa II și instrumentelor financiare derivate de credit; </w:t>
            </w:r>
          </w:p>
          <w:p w14:paraId="4E1CE4DB" w14:textId="77777777"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(b) operaţiunilor de finanţare prin titluri de valoare și tranzacţiilor de dare sau luare cu împrumut de depozite garantate integral; și </w:t>
            </w:r>
          </w:p>
          <w:p w14:paraId="458481A5" w14:textId="77777777"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(c) tranzacţiilor cu termen lung de decontare. </w:t>
            </w:r>
          </w:p>
          <w:p w14:paraId="076E79DA" w14:textId="77777777"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Prezenta secţiune nu se aplică expunerilor care rezultă din decontarea tranzacţiilor în numerar. Instituţiile aplică tratamentul prevăzut la titlul V expunerilor din tranzacţii ce rezultă din respectivele tranzacţii și o pondere de risc de 0 % contribuţiilor la fondul de garantare care acoperă doar acele tranzacţii. Instituţiile aplică tratamentul prevăzut la articolul 307 contribuţiilor la fondul de garantare care acoperă oricare dintre tipurile de contracte menţionate la primul paragraf din prezentul alineat, în plus faţă de tranzacţiile în numerar. </w:t>
            </w:r>
          </w:p>
          <w:p w14:paraId="34454AAE" w14:textId="77777777"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(2) În sensul prezentei secţiuni, se aplică următoarele cerinţe: </w:t>
            </w:r>
          </w:p>
          <w:p w14:paraId="614ECEAC" w14:textId="77777777" w:rsidR="0001798B" w:rsidRPr="00FA16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(a) marja iniţială nu include contribuţiile către o CPC pentru acorduri mutualizate de partajare a pierderilor; </w:t>
            </w:r>
          </w:p>
          <w:p w14:paraId="275B980B"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FA16E9">
              <w:rPr>
                <w:rFonts w:eastAsiaTheme="minorHAnsi"/>
                <w:color w:val="000000"/>
                <w:sz w:val="19"/>
                <w:szCs w:val="19"/>
                <w:lang w:val="ro-MD" w:eastAsia="en-US"/>
              </w:rPr>
              <w:t xml:space="preserve">(b) marja iniţială include garanţiile reale depuse de o instituţie care acţionează în calitate de membru compensator sau de client peste suma minimă impusă de CPC sau de instituţia care acţionează ca membru compensator, cu condiţia ca respectiva CPC sau instituţia care acţionează ca membru compensator să </w:t>
            </w:r>
            <w:r w:rsidRPr="00FA16E9">
              <w:rPr>
                <w:rFonts w:eastAsiaTheme="minorHAnsi"/>
                <w:color w:val="000000"/>
                <w:sz w:val="19"/>
                <w:szCs w:val="19"/>
                <w:lang w:val="ro-MD" w:eastAsia="en-US"/>
              </w:rPr>
              <w:lastRenderedPageBreak/>
              <w:t xml:space="preserve">poată, în cazurile corespunzătoare, să împiedice instituţia care acţionează ca membru compensator sau clientul să retragă aceste garanţii reale excedentare; </w:t>
            </w:r>
          </w:p>
          <w:p w14:paraId="0E791A4D" w14:textId="7FE4A5A0" w:rsidR="0001798B" w:rsidRPr="003B14E9" w:rsidRDefault="0001798B" w:rsidP="0001798B">
            <w:pPr>
              <w:pStyle w:val="title-article-norm"/>
              <w:rPr>
                <w:i w:val="0"/>
                <w:sz w:val="18"/>
                <w:szCs w:val="18"/>
                <w:lang w:val="ro-MD"/>
              </w:rPr>
            </w:pPr>
            <w:r w:rsidRPr="003B14E9">
              <w:rPr>
                <w:rFonts w:eastAsiaTheme="minorHAnsi"/>
                <w:i w:val="0"/>
                <w:iCs w:val="0"/>
                <w:color w:val="000000"/>
                <w:sz w:val="19"/>
                <w:szCs w:val="19"/>
                <w:lang w:val="ro-MD"/>
              </w:rPr>
              <w:t>(c) în cazul în care o CPC utilizează marja iniţială pentru a mutualiza pierderile în rândul membrilor săi compensatori, instituţiile care acţionează ca membri compensatori tratează marja iniţială respectivă ca fiind o contribuţie la fondul de garantare.</w:t>
            </w:r>
          </w:p>
        </w:tc>
        <w:tc>
          <w:tcPr>
            <w:tcW w:w="4425" w:type="dxa"/>
            <w:shd w:val="clear" w:color="auto" w:fill="auto"/>
          </w:tcPr>
          <w:p w14:paraId="01B2DDD8" w14:textId="77777777" w:rsidR="0001798B" w:rsidRPr="00CB1B13" w:rsidRDefault="0001798B" w:rsidP="0001798B">
            <w:pPr>
              <w:ind w:firstLine="567"/>
              <w:jc w:val="center"/>
              <w:rPr>
                <w:sz w:val="18"/>
                <w:szCs w:val="18"/>
                <w:lang w:val="ro-MD" w:eastAsia="en-US"/>
              </w:rPr>
            </w:pPr>
            <w:r w:rsidRPr="00CB1B13">
              <w:rPr>
                <w:b/>
                <w:bCs/>
                <w:sz w:val="18"/>
                <w:szCs w:val="18"/>
                <w:lang w:val="ro-MD" w:eastAsia="en-US"/>
              </w:rPr>
              <w:lastRenderedPageBreak/>
              <w:t>Capitolul VIII</w:t>
            </w:r>
          </w:p>
          <w:p w14:paraId="45F55E8A" w14:textId="77777777" w:rsidR="0001798B" w:rsidRPr="00CB1B13" w:rsidRDefault="0001798B" w:rsidP="0001798B">
            <w:pPr>
              <w:ind w:firstLine="567"/>
              <w:jc w:val="center"/>
              <w:rPr>
                <w:sz w:val="18"/>
                <w:szCs w:val="18"/>
                <w:lang w:val="ro-MD" w:eastAsia="en-US"/>
              </w:rPr>
            </w:pPr>
            <w:r w:rsidRPr="00CB1B13">
              <w:rPr>
                <w:b/>
                <w:bCs/>
                <w:sz w:val="18"/>
                <w:szCs w:val="18"/>
                <w:lang w:val="ro-MD" w:eastAsia="en-US"/>
              </w:rPr>
              <w:t>CERINŢELE DE FONDURI PROPRII PENTRU EXPUNERILE FAȚĂ</w:t>
            </w:r>
          </w:p>
          <w:p w14:paraId="7138C161" w14:textId="77777777" w:rsidR="0001798B" w:rsidRPr="00CB1B13" w:rsidRDefault="0001798B" w:rsidP="0001798B">
            <w:pPr>
              <w:ind w:firstLine="567"/>
              <w:jc w:val="center"/>
              <w:rPr>
                <w:b/>
                <w:bCs/>
                <w:sz w:val="18"/>
                <w:szCs w:val="18"/>
                <w:lang w:val="ro-MD" w:eastAsia="en-US"/>
              </w:rPr>
            </w:pPr>
            <w:r w:rsidRPr="00CB1B13">
              <w:rPr>
                <w:b/>
                <w:bCs/>
                <w:sz w:val="18"/>
                <w:szCs w:val="18"/>
                <w:lang w:val="ro-MD" w:eastAsia="en-US"/>
              </w:rPr>
              <w:t>DE O CONTAPARTE CENTRALĂ</w:t>
            </w:r>
          </w:p>
          <w:p w14:paraId="295F90A3" w14:textId="77777777" w:rsidR="0001798B" w:rsidRPr="00CB1B13" w:rsidRDefault="0001798B" w:rsidP="0001798B">
            <w:pPr>
              <w:ind w:firstLine="567"/>
              <w:jc w:val="center"/>
              <w:rPr>
                <w:b/>
                <w:bCs/>
                <w:sz w:val="18"/>
                <w:szCs w:val="18"/>
                <w:lang w:val="ro-MD" w:eastAsia="en-US"/>
              </w:rPr>
            </w:pPr>
          </w:p>
          <w:p w14:paraId="523C945B" w14:textId="77777777" w:rsidR="0001798B" w:rsidRPr="00CB1B13" w:rsidRDefault="0001798B" w:rsidP="0001798B">
            <w:pPr>
              <w:ind w:firstLine="567"/>
              <w:jc w:val="center"/>
              <w:rPr>
                <w:sz w:val="18"/>
                <w:szCs w:val="18"/>
                <w:lang w:val="ro-MD" w:eastAsia="en-US"/>
              </w:rPr>
            </w:pPr>
            <w:r w:rsidRPr="00CB1B13">
              <w:rPr>
                <w:bCs/>
                <w:i/>
                <w:iCs/>
                <w:sz w:val="18"/>
                <w:szCs w:val="18"/>
                <w:lang w:val="ro-MD" w:eastAsia="en-US"/>
              </w:rPr>
              <w:t>Secţiunea 1</w:t>
            </w:r>
          </w:p>
          <w:p w14:paraId="79144A69" w14:textId="77777777" w:rsidR="0001798B" w:rsidRPr="00CB1B13" w:rsidRDefault="0001798B" w:rsidP="0001798B">
            <w:pPr>
              <w:ind w:firstLine="567"/>
              <w:jc w:val="center"/>
              <w:rPr>
                <w:b/>
                <w:bCs/>
                <w:sz w:val="18"/>
                <w:szCs w:val="18"/>
                <w:lang w:val="ro-MD" w:eastAsia="en-US"/>
              </w:rPr>
            </w:pPr>
            <w:r w:rsidRPr="00CB1B13">
              <w:rPr>
                <w:b/>
                <w:bCs/>
                <w:sz w:val="18"/>
                <w:szCs w:val="18"/>
                <w:lang w:val="ro-MD" w:eastAsia="en-US"/>
              </w:rPr>
              <w:t>Domeniul de aplicare material</w:t>
            </w:r>
          </w:p>
          <w:p w14:paraId="1A7798CE" w14:textId="77777777" w:rsidR="0001798B" w:rsidRPr="00CB1B13" w:rsidRDefault="0001798B" w:rsidP="0001798B">
            <w:pPr>
              <w:ind w:hanging="5"/>
              <w:jc w:val="both"/>
              <w:rPr>
                <w:sz w:val="18"/>
                <w:szCs w:val="18"/>
                <w:lang w:val="ro-MD" w:eastAsia="en-US"/>
              </w:rPr>
            </w:pPr>
            <w:r w:rsidRPr="00CB1B13">
              <w:rPr>
                <w:b/>
                <w:bCs/>
                <w:sz w:val="18"/>
                <w:szCs w:val="18"/>
                <w:lang w:val="ro-MD" w:eastAsia="en-US"/>
              </w:rPr>
              <w:t>105.</w:t>
            </w:r>
            <w:r w:rsidRPr="00CB1B13">
              <w:rPr>
                <w:sz w:val="18"/>
                <w:szCs w:val="18"/>
                <w:lang w:val="ro-MD" w:eastAsia="en-US"/>
              </w:rPr>
              <w:t xml:space="preserve"> Prezentul capitol se aplică următoarelor contracte și tranzacţii, atât timp cât sunt în curs de desfășurare cu o CPC:</w:t>
            </w:r>
          </w:p>
          <w:p w14:paraId="792DD7A5" w14:textId="77777777" w:rsidR="0001798B" w:rsidRPr="00CB1B13" w:rsidRDefault="0001798B" w:rsidP="0001798B">
            <w:pPr>
              <w:ind w:hanging="5"/>
              <w:jc w:val="both"/>
              <w:rPr>
                <w:sz w:val="18"/>
                <w:szCs w:val="18"/>
                <w:lang w:val="ro-MD" w:eastAsia="en-US"/>
              </w:rPr>
            </w:pPr>
            <w:r w:rsidRPr="00CB1B13">
              <w:rPr>
                <w:sz w:val="18"/>
                <w:szCs w:val="18"/>
                <w:lang w:val="ro-MD" w:eastAsia="en-US"/>
              </w:rPr>
              <w:t>1) contractelor derivate enumerate în anexa nr.1 la Regulamentul nr.114/2018 cu privire la tratamentul riscului de piaţă potrivit abordării standardizate și instrumentelor financiare derivate de credit;</w:t>
            </w:r>
          </w:p>
          <w:p w14:paraId="6EB6D9B6" w14:textId="77777777" w:rsidR="0001798B" w:rsidRPr="00CB1B13" w:rsidRDefault="0001798B" w:rsidP="0001798B">
            <w:pPr>
              <w:ind w:hanging="5"/>
              <w:jc w:val="both"/>
              <w:rPr>
                <w:sz w:val="18"/>
                <w:szCs w:val="18"/>
                <w:lang w:val="ro-MD" w:eastAsia="en-US"/>
              </w:rPr>
            </w:pPr>
            <w:r w:rsidRPr="00CB1B13">
              <w:rPr>
                <w:sz w:val="18"/>
                <w:szCs w:val="18"/>
                <w:lang w:val="ro-MD" w:eastAsia="en-US"/>
              </w:rPr>
              <w:t>2) operaţiunilor de finanţare prin titluri de valoare și tranzacţiilor de dare sau luare cu împrumut de depozite garantate integral; și</w:t>
            </w:r>
          </w:p>
          <w:p w14:paraId="77CB1639" w14:textId="77777777" w:rsidR="0001798B" w:rsidRPr="00CB1B13" w:rsidRDefault="0001798B" w:rsidP="0001798B">
            <w:pPr>
              <w:ind w:hanging="5"/>
              <w:jc w:val="both"/>
              <w:rPr>
                <w:sz w:val="18"/>
                <w:szCs w:val="18"/>
                <w:lang w:val="ro-MD" w:eastAsia="en-US"/>
              </w:rPr>
            </w:pPr>
            <w:r w:rsidRPr="00CB1B13">
              <w:rPr>
                <w:sz w:val="18"/>
                <w:szCs w:val="18"/>
                <w:lang w:val="ro-MD" w:eastAsia="en-US"/>
              </w:rPr>
              <w:t>3) tranzacţiilor cu termen lung de decontare.</w:t>
            </w:r>
          </w:p>
          <w:p w14:paraId="45207354" w14:textId="77777777" w:rsidR="0001798B" w:rsidRPr="00CB1B13" w:rsidRDefault="0001798B" w:rsidP="0001798B">
            <w:pPr>
              <w:ind w:hanging="5"/>
              <w:jc w:val="both"/>
              <w:rPr>
                <w:sz w:val="18"/>
                <w:szCs w:val="18"/>
                <w:lang w:val="ro-MD" w:eastAsia="en-US"/>
              </w:rPr>
            </w:pPr>
            <w:r w:rsidRPr="00CB1B13">
              <w:rPr>
                <w:sz w:val="18"/>
                <w:szCs w:val="18"/>
                <w:lang w:val="ro-MD" w:eastAsia="en-US"/>
              </w:rPr>
              <w:t>Prezentul capitol nu se aplică expunerilor care rezultă din decontarea tranzacţiilor în numerar. Băncile aplică tratamentul prevăzut în Regulamentul nr.115/2018 cu privire la tratamentul riscului de decontare/livrare pentru bănci, expunerilor din tranzacţii ce rezultă din respectivele tranzacţii și o pondere de risc de 0 % contribuţiilor la fondul de garantare care acoperă doar acele tranzacţii. Băncile aplică tratamentul prevăzut la punctul 126 contribuţiilor la fondul de garantare care acoperă oricare dintre tipurile de contracte menţionate în prezentul punct, în plus faţă de tranzacţiile în numerar.</w:t>
            </w:r>
          </w:p>
          <w:p w14:paraId="08F549A4" w14:textId="77777777" w:rsidR="0001798B" w:rsidRPr="00CB1B13" w:rsidRDefault="0001798B" w:rsidP="0001798B">
            <w:pPr>
              <w:ind w:hanging="5"/>
              <w:jc w:val="both"/>
              <w:rPr>
                <w:sz w:val="18"/>
                <w:szCs w:val="18"/>
                <w:lang w:val="ro-MD" w:eastAsia="en-US"/>
              </w:rPr>
            </w:pPr>
            <w:r w:rsidRPr="00CB1B13">
              <w:rPr>
                <w:b/>
                <w:bCs/>
                <w:sz w:val="18"/>
                <w:szCs w:val="18"/>
                <w:lang w:val="ro-MD" w:eastAsia="en-US"/>
              </w:rPr>
              <w:t xml:space="preserve">106. </w:t>
            </w:r>
            <w:r w:rsidRPr="00CB1B13">
              <w:rPr>
                <w:sz w:val="18"/>
                <w:szCs w:val="18"/>
                <w:lang w:val="ro-MD" w:eastAsia="en-US"/>
              </w:rPr>
              <w:t>În sensul prezentului capitol, se aplică următoarele cerinţe:</w:t>
            </w:r>
          </w:p>
          <w:p w14:paraId="4516D02D" w14:textId="77777777" w:rsidR="0001798B" w:rsidRPr="00CB1B13" w:rsidRDefault="0001798B" w:rsidP="0001798B">
            <w:pPr>
              <w:ind w:hanging="5"/>
              <w:jc w:val="both"/>
              <w:rPr>
                <w:sz w:val="18"/>
                <w:szCs w:val="18"/>
                <w:lang w:val="ro-MD" w:eastAsia="en-US"/>
              </w:rPr>
            </w:pPr>
            <w:r w:rsidRPr="00CB1B13">
              <w:rPr>
                <w:sz w:val="18"/>
                <w:szCs w:val="18"/>
                <w:lang w:val="ro-MD" w:eastAsia="en-US"/>
              </w:rPr>
              <w:t>1) marja iniţială nu include contribuţiile către o CPC pentru acorduri mutualizate de partajare a pierderilor;</w:t>
            </w:r>
          </w:p>
          <w:p w14:paraId="173D1FA6" w14:textId="77777777" w:rsidR="0001798B" w:rsidRPr="00CB1B13" w:rsidRDefault="0001798B" w:rsidP="0001798B">
            <w:pPr>
              <w:ind w:hanging="5"/>
              <w:jc w:val="both"/>
              <w:rPr>
                <w:sz w:val="18"/>
                <w:szCs w:val="18"/>
                <w:lang w:val="ro-MD" w:eastAsia="en-US"/>
              </w:rPr>
            </w:pPr>
            <w:r w:rsidRPr="00CB1B13">
              <w:rPr>
                <w:sz w:val="18"/>
                <w:szCs w:val="18"/>
                <w:lang w:val="ro-MD" w:eastAsia="en-US"/>
              </w:rPr>
              <w:t xml:space="preserve">2) marja iniţială include garanţiile reale depuse de o bancă care acţionează în calitate de membru compensator sau de </w:t>
            </w:r>
            <w:r w:rsidRPr="00CB1B13">
              <w:rPr>
                <w:sz w:val="18"/>
                <w:szCs w:val="18"/>
                <w:lang w:val="ro-MD" w:eastAsia="en-US"/>
              </w:rPr>
              <w:lastRenderedPageBreak/>
              <w:t>client peste suma minimă impusă de CPC sau de banca care acţionează ca membru compensator, cu condiţia ca respectiva CPC sau banca care acţionează ca membru compensator să poată, în cazurile corespunzătoare, să împiedice banca care acţionează ca membru compensator sau clientul să retragă aceste garanţii reale excedentare;</w:t>
            </w:r>
          </w:p>
          <w:p w14:paraId="1EF3D9DB" w14:textId="77777777" w:rsidR="0001798B" w:rsidRPr="00CB1B13" w:rsidRDefault="0001798B" w:rsidP="0001798B">
            <w:pPr>
              <w:ind w:hanging="5"/>
              <w:jc w:val="both"/>
              <w:rPr>
                <w:sz w:val="18"/>
                <w:szCs w:val="18"/>
                <w:lang w:val="ro-MD" w:eastAsia="en-US"/>
              </w:rPr>
            </w:pPr>
            <w:r w:rsidRPr="00CB1B13">
              <w:rPr>
                <w:sz w:val="18"/>
                <w:szCs w:val="18"/>
                <w:lang w:val="ro-MD" w:eastAsia="en-US"/>
              </w:rPr>
              <w:t>3) în cazul în care o CPC utilizează marja iniţială pentru a mutualiza pierderile în rândul membrilor săi compensatori, băncile care acţionează ca membri compensatori tratează marja iniţială respectivă ca fiind o contribuţie la fondul de garantare.</w:t>
            </w:r>
          </w:p>
          <w:p w14:paraId="56F2B6FA" w14:textId="77777777" w:rsidR="0001798B" w:rsidRPr="003B14E9" w:rsidRDefault="0001798B" w:rsidP="0001798B">
            <w:pPr>
              <w:jc w:val="center"/>
              <w:rPr>
                <w:b/>
                <w:bCs/>
                <w:sz w:val="18"/>
                <w:szCs w:val="18"/>
                <w:lang w:val="ro-MD" w:eastAsia="en-US"/>
              </w:rPr>
            </w:pPr>
          </w:p>
        </w:tc>
        <w:tc>
          <w:tcPr>
            <w:tcW w:w="1160" w:type="dxa"/>
          </w:tcPr>
          <w:p w14:paraId="38628374" w14:textId="0BF96307"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3659C738"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2D3C6D29"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0234921E" w14:textId="77777777" w:rsidR="0001798B" w:rsidRPr="003B14E9" w:rsidRDefault="0001798B" w:rsidP="0001798B">
            <w:pPr>
              <w:jc w:val="both"/>
              <w:rPr>
                <w:sz w:val="18"/>
                <w:szCs w:val="18"/>
                <w:lang w:val="ro-MD"/>
              </w:rPr>
            </w:pPr>
          </w:p>
        </w:tc>
      </w:tr>
      <w:tr w:rsidR="0001798B" w:rsidRPr="003B14E9" w14:paraId="0C4D06A0" w14:textId="77777777" w:rsidTr="00604EF1">
        <w:trPr>
          <w:trHeight w:val="918"/>
        </w:trPr>
        <w:tc>
          <w:tcPr>
            <w:tcW w:w="4473" w:type="dxa"/>
          </w:tcPr>
          <w:p w14:paraId="3F5964CC" w14:textId="0FD62400" w:rsidR="0001798B" w:rsidRPr="00CA5D29" w:rsidRDefault="0001798B" w:rsidP="0001798B">
            <w:pPr>
              <w:autoSpaceDE w:val="0"/>
              <w:autoSpaceDN w:val="0"/>
              <w:adjustRightInd w:val="0"/>
              <w:spacing w:before="60" w:after="60"/>
              <w:rPr>
                <w:rFonts w:eastAsiaTheme="minorHAnsi"/>
                <w:color w:val="000000"/>
                <w:sz w:val="19"/>
                <w:szCs w:val="19"/>
                <w:lang w:val="ro-MD" w:eastAsia="en-US"/>
              </w:rPr>
            </w:pPr>
            <w:r w:rsidRPr="00CA5D29">
              <w:rPr>
                <w:rFonts w:eastAsiaTheme="minorHAnsi"/>
                <w:i/>
                <w:iCs/>
                <w:color w:val="000000"/>
                <w:sz w:val="19"/>
                <w:szCs w:val="19"/>
                <w:lang w:val="ro-MD" w:eastAsia="en-US"/>
              </w:rPr>
              <w:t xml:space="preserve">Articolul 302 </w:t>
            </w:r>
            <w:r w:rsidRPr="00CA5D29">
              <w:rPr>
                <w:rFonts w:eastAsiaTheme="minorHAnsi"/>
                <w:b/>
                <w:bCs/>
                <w:color w:val="000000"/>
                <w:sz w:val="19"/>
                <w:szCs w:val="19"/>
                <w:lang w:val="ro-MD" w:eastAsia="en-US"/>
              </w:rPr>
              <w:t xml:space="preserve">Monitorizarea expunerilor la CPC </w:t>
            </w:r>
          </w:p>
          <w:p w14:paraId="637CC5DE" w14:textId="77777777" w:rsidR="0001798B" w:rsidRPr="00CA5D29" w:rsidRDefault="0001798B" w:rsidP="0001798B">
            <w:pPr>
              <w:autoSpaceDE w:val="0"/>
              <w:autoSpaceDN w:val="0"/>
              <w:adjustRightInd w:val="0"/>
              <w:spacing w:before="60" w:after="60"/>
              <w:rPr>
                <w:rFonts w:eastAsiaTheme="minorHAnsi"/>
                <w:color w:val="000000"/>
                <w:sz w:val="19"/>
                <w:szCs w:val="19"/>
                <w:lang w:val="ro-MD" w:eastAsia="en-US"/>
              </w:rPr>
            </w:pPr>
            <w:r w:rsidRPr="00CA5D29">
              <w:rPr>
                <w:rFonts w:eastAsiaTheme="minorHAnsi"/>
                <w:color w:val="000000"/>
                <w:sz w:val="19"/>
                <w:szCs w:val="19"/>
                <w:lang w:val="ro-MD" w:eastAsia="en-US"/>
              </w:rPr>
              <w:t xml:space="preserve">(1) Instituţiile își monitorizează toate expunerile la CPC și stabilesc proceduri privind raportarea cu regularitate a informaţiilor privind aceste expuneri către conducerea superioară și comitetul sau comitetele adecvate ale organului de conducere. </w:t>
            </w:r>
          </w:p>
          <w:p w14:paraId="76D22502" w14:textId="44BFB4BC" w:rsidR="0001798B" w:rsidRPr="003B14E9" w:rsidRDefault="0001798B" w:rsidP="0001798B">
            <w:pPr>
              <w:pStyle w:val="title-article-norm"/>
              <w:jc w:val="left"/>
              <w:rPr>
                <w:i w:val="0"/>
                <w:sz w:val="18"/>
                <w:szCs w:val="18"/>
                <w:lang w:val="ro-MD"/>
              </w:rPr>
            </w:pPr>
            <w:r w:rsidRPr="003B14E9">
              <w:rPr>
                <w:rFonts w:eastAsiaTheme="minorHAnsi"/>
                <w:i w:val="0"/>
                <w:iCs w:val="0"/>
                <w:color w:val="000000"/>
                <w:sz w:val="19"/>
                <w:szCs w:val="19"/>
                <w:lang w:val="ro-MD"/>
              </w:rPr>
              <w:t>(2) Instituţiile evaluează, prin intermediul unor analize de scenarii și al unor simulări de criză adecvate, dacă nivelul fondurilor proprii deţinute pentru expunerile la o CPC, inclusiv la expunerile din credite viitoare potenţiale sau contingente, expunerile la contribuţiile la fondul de garantare și, în cazul în care instituţia acţionează în calitate de membru compensator, expunerile rezultate din acorduri contractuale, astfel cum sunt prevăzute la articolul 304, este corelat în mod corespunzător cu riscurile inerente ale expunerilor respective.</w:t>
            </w:r>
          </w:p>
        </w:tc>
        <w:tc>
          <w:tcPr>
            <w:tcW w:w="4425" w:type="dxa"/>
            <w:shd w:val="clear" w:color="auto" w:fill="auto"/>
          </w:tcPr>
          <w:p w14:paraId="09855708" w14:textId="77777777" w:rsidR="0001798B" w:rsidRPr="003B14E9" w:rsidRDefault="0001798B" w:rsidP="0001798B">
            <w:pPr>
              <w:jc w:val="center"/>
              <w:rPr>
                <w:bCs/>
                <w:i/>
                <w:iCs/>
                <w:sz w:val="18"/>
                <w:szCs w:val="18"/>
                <w:lang w:val="ro-MD"/>
              </w:rPr>
            </w:pPr>
            <w:r w:rsidRPr="003B14E9">
              <w:rPr>
                <w:bCs/>
                <w:i/>
                <w:iCs/>
                <w:sz w:val="18"/>
                <w:szCs w:val="18"/>
                <w:lang w:val="ro-MD"/>
              </w:rPr>
              <w:t>Secţiunea a 2-a</w:t>
            </w:r>
          </w:p>
          <w:p w14:paraId="5B68935D" w14:textId="77777777" w:rsidR="0001798B" w:rsidRPr="003B14E9" w:rsidRDefault="0001798B" w:rsidP="0001798B">
            <w:pPr>
              <w:jc w:val="center"/>
              <w:rPr>
                <w:b/>
                <w:sz w:val="18"/>
                <w:szCs w:val="18"/>
                <w:lang w:val="ro-MD"/>
              </w:rPr>
            </w:pPr>
            <w:r w:rsidRPr="003B14E9">
              <w:rPr>
                <w:b/>
                <w:sz w:val="18"/>
                <w:szCs w:val="18"/>
                <w:lang w:val="ro-MD"/>
              </w:rPr>
              <w:t>Monitorizarea expunerilor la CPC</w:t>
            </w:r>
          </w:p>
          <w:p w14:paraId="55EA3F3C" w14:textId="77777777" w:rsidR="0001798B" w:rsidRPr="003B14E9" w:rsidRDefault="0001798B" w:rsidP="0001798B">
            <w:pPr>
              <w:jc w:val="both"/>
              <w:rPr>
                <w:bCs/>
                <w:sz w:val="18"/>
                <w:szCs w:val="18"/>
                <w:lang w:val="ro-MD"/>
              </w:rPr>
            </w:pPr>
            <w:r w:rsidRPr="003B14E9">
              <w:rPr>
                <w:b/>
                <w:sz w:val="18"/>
                <w:szCs w:val="18"/>
                <w:lang w:val="ro-MD"/>
              </w:rPr>
              <w:t xml:space="preserve">107. </w:t>
            </w:r>
            <w:r w:rsidRPr="003B14E9">
              <w:rPr>
                <w:bCs/>
                <w:sz w:val="18"/>
                <w:szCs w:val="18"/>
                <w:lang w:val="ro-MD"/>
              </w:rPr>
              <w:t xml:space="preserve">Băncile își monitorizează toate expunerile la CPC și stabilesc proceduri privind raportarea cu regularitate a informaţiilor privind aceste expuneri către organul de conducere și comitetelor specializate ale consiliului băncii. </w:t>
            </w:r>
          </w:p>
          <w:p w14:paraId="1688C295" w14:textId="77777777" w:rsidR="0001798B" w:rsidRPr="003B14E9" w:rsidRDefault="0001798B" w:rsidP="0001798B">
            <w:pPr>
              <w:jc w:val="both"/>
              <w:rPr>
                <w:bCs/>
                <w:sz w:val="18"/>
                <w:szCs w:val="18"/>
                <w:lang w:val="ro-MD"/>
              </w:rPr>
            </w:pPr>
            <w:r w:rsidRPr="003B14E9">
              <w:rPr>
                <w:b/>
                <w:sz w:val="18"/>
                <w:szCs w:val="18"/>
                <w:lang w:val="ro-MD"/>
              </w:rPr>
              <w:t>108.</w:t>
            </w:r>
            <w:r w:rsidRPr="003B14E9">
              <w:rPr>
                <w:bCs/>
                <w:sz w:val="18"/>
                <w:szCs w:val="18"/>
                <w:lang w:val="ro-MD"/>
              </w:rPr>
              <w:t xml:space="preserve"> Băncile evaluează, prin intermediul unor analize de scenarii și al unor simulări de criză adecvate, dacă nivelul fondurilor proprii deţinute pentru expunerile la o CPC, inclusiv la expunerile din credite viitoare potenţiale sau contingente, expunerile la contribuţiile la fondul de garantare și, în cazul în care banca acţionează în calitate de membru compensator, expunerile rezultate din acorduri contractuale, astfel cum sunt prevăzute la </w:t>
            </w:r>
            <w:bookmarkStart w:id="5" w:name="_Hlk163075936"/>
            <w:r w:rsidRPr="003B14E9">
              <w:rPr>
                <w:bCs/>
                <w:sz w:val="18"/>
                <w:szCs w:val="18"/>
                <w:lang w:val="ro-MD"/>
              </w:rPr>
              <w:t>secțiunea a 4-a din prezentul capitol</w:t>
            </w:r>
            <w:bookmarkEnd w:id="5"/>
            <w:r w:rsidRPr="003B14E9">
              <w:rPr>
                <w:bCs/>
                <w:sz w:val="18"/>
                <w:szCs w:val="18"/>
                <w:lang w:val="ro-MD"/>
              </w:rPr>
              <w:t>, este corelat în mod corespunzător cu riscurile inerente ale expunerilor respective.</w:t>
            </w:r>
          </w:p>
          <w:p w14:paraId="179D832E" w14:textId="77777777" w:rsidR="0001798B" w:rsidRPr="003B14E9" w:rsidRDefault="0001798B" w:rsidP="0001798B">
            <w:pPr>
              <w:pStyle w:val="CM4"/>
              <w:tabs>
                <w:tab w:val="left" w:pos="150"/>
                <w:tab w:val="left" w:pos="851"/>
              </w:tabs>
              <w:ind w:left="426"/>
              <w:jc w:val="center"/>
              <w:rPr>
                <w:rFonts w:ascii="Times New Roman" w:hAnsi="Times New Roman"/>
                <w:b/>
                <w:iCs/>
                <w:sz w:val="18"/>
                <w:szCs w:val="18"/>
                <w:lang w:val="ro-MD"/>
              </w:rPr>
            </w:pPr>
          </w:p>
          <w:p w14:paraId="10BE4645" w14:textId="77777777" w:rsidR="0001798B" w:rsidRPr="003B14E9" w:rsidRDefault="0001798B" w:rsidP="0001798B">
            <w:pPr>
              <w:pStyle w:val="CM4"/>
              <w:tabs>
                <w:tab w:val="left" w:pos="150"/>
                <w:tab w:val="left" w:pos="851"/>
              </w:tabs>
              <w:ind w:left="426"/>
              <w:jc w:val="center"/>
              <w:rPr>
                <w:rFonts w:ascii="Times New Roman" w:hAnsi="Times New Roman"/>
                <w:b/>
                <w:iCs/>
                <w:sz w:val="18"/>
                <w:szCs w:val="18"/>
                <w:lang w:val="ro-MD"/>
              </w:rPr>
            </w:pPr>
          </w:p>
          <w:p w14:paraId="6E9A6E46" w14:textId="77777777" w:rsidR="0001798B" w:rsidRPr="003B14E9" w:rsidRDefault="0001798B" w:rsidP="0001798B">
            <w:pPr>
              <w:pStyle w:val="CM4"/>
              <w:tabs>
                <w:tab w:val="left" w:pos="150"/>
                <w:tab w:val="left" w:pos="851"/>
              </w:tabs>
              <w:ind w:left="426"/>
              <w:jc w:val="center"/>
              <w:rPr>
                <w:rFonts w:ascii="Times New Roman" w:hAnsi="Times New Roman"/>
                <w:b/>
                <w:iCs/>
                <w:sz w:val="18"/>
                <w:szCs w:val="18"/>
                <w:lang w:val="ro-MD"/>
              </w:rPr>
            </w:pPr>
          </w:p>
          <w:p w14:paraId="35856FE3" w14:textId="77777777" w:rsidR="0001798B" w:rsidRPr="003B14E9" w:rsidRDefault="0001798B" w:rsidP="0001798B">
            <w:pPr>
              <w:pStyle w:val="CM4"/>
              <w:tabs>
                <w:tab w:val="left" w:pos="150"/>
                <w:tab w:val="left" w:pos="851"/>
              </w:tabs>
              <w:ind w:left="426"/>
              <w:jc w:val="center"/>
              <w:rPr>
                <w:rFonts w:ascii="Times New Roman" w:hAnsi="Times New Roman"/>
                <w:b/>
                <w:iCs/>
                <w:sz w:val="18"/>
                <w:szCs w:val="18"/>
                <w:lang w:val="ro-MD"/>
              </w:rPr>
            </w:pPr>
          </w:p>
          <w:p w14:paraId="76E2C079" w14:textId="77777777" w:rsidR="0001798B" w:rsidRPr="003B14E9" w:rsidRDefault="0001798B" w:rsidP="0001798B">
            <w:pPr>
              <w:jc w:val="center"/>
              <w:rPr>
                <w:b/>
                <w:bCs/>
                <w:sz w:val="18"/>
                <w:szCs w:val="18"/>
                <w:lang w:val="ro-MD" w:eastAsia="en-US"/>
              </w:rPr>
            </w:pPr>
          </w:p>
        </w:tc>
        <w:tc>
          <w:tcPr>
            <w:tcW w:w="1160" w:type="dxa"/>
          </w:tcPr>
          <w:p w14:paraId="73FEE0CF" w14:textId="430309ED" w:rsidR="0001798B" w:rsidRPr="003B14E9" w:rsidRDefault="0001798B" w:rsidP="0001798B">
            <w:pPr>
              <w:jc w:val="both"/>
              <w:rPr>
                <w:sz w:val="18"/>
                <w:szCs w:val="18"/>
                <w:lang w:val="ro-MD"/>
              </w:rPr>
            </w:pPr>
            <w:r w:rsidRPr="003B14E9">
              <w:rPr>
                <w:sz w:val="18"/>
                <w:szCs w:val="18"/>
                <w:lang w:val="ro-MD"/>
              </w:rPr>
              <w:t>Compatibil</w:t>
            </w:r>
          </w:p>
        </w:tc>
        <w:tc>
          <w:tcPr>
            <w:tcW w:w="3041" w:type="dxa"/>
          </w:tcPr>
          <w:p w14:paraId="140352F9"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5E92D1FA"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418E5483" w14:textId="77777777" w:rsidR="0001798B" w:rsidRPr="003B14E9" w:rsidRDefault="0001798B" w:rsidP="0001798B">
            <w:pPr>
              <w:jc w:val="both"/>
              <w:rPr>
                <w:sz w:val="18"/>
                <w:szCs w:val="18"/>
                <w:lang w:val="ro-MD"/>
              </w:rPr>
            </w:pPr>
          </w:p>
        </w:tc>
      </w:tr>
      <w:tr w:rsidR="0001798B" w:rsidRPr="003B14E9" w14:paraId="1ACCE900" w14:textId="77777777" w:rsidTr="00604EF1">
        <w:trPr>
          <w:trHeight w:val="918"/>
        </w:trPr>
        <w:tc>
          <w:tcPr>
            <w:tcW w:w="4473" w:type="dxa"/>
          </w:tcPr>
          <w:p w14:paraId="29398530" w14:textId="15BE793E"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i/>
                <w:iCs/>
                <w:color w:val="000000"/>
                <w:sz w:val="19"/>
                <w:szCs w:val="19"/>
                <w:lang w:val="ro-MD" w:eastAsia="en-US"/>
              </w:rPr>
              <w:t xml:space="preserve">Articolul 303 </w:t>
            </w:r>
            <w:r w:rsidRPr="00DF075A">
              <w:rPr>
                <w:rFonts w:eastAsiaTheme="minorHAnsi"/>
                <w:b/>
                <w:bCs/>
                <w:color w:val="000000"/>
                <w:sz w:val="19"/>
                <w:szCs w:val="19"/>
                <w:lang w:val="ro-MD" w:eastAsia="en-US"/>
              </w:rPr>
              <w:t xml:space="preserve">Tratamentul expunerilor la CPC-uri ale membrilor compensatori </w:t>
            </w:r>
          </w:p>
          <w:p w14:paraId="1EB75B74"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(1) O instituţie care acţionează ca membru compensator, în scopuri proprii sau în calitate de </w:t>
            </w:r>
            <w:r w:rsidRPr="00DF075A">
              <w:rPr>
                <w:rFonts w:eastAsiaTheme="minorHAnsi"/>
                <w:color w:val="000000"/>
                <w:sz w:val="19"/>
                <w:szCs w:val="19"/>
                <w:lang w:val="ro-MD" w:eastAsia="en-US"/>
              </w:rPr>
              <w:lastRenderedPageBreak/>
              <w:t xml:space="preserve">intermediar financiar între un client și o CPC calculează cerinţele de fonduri proprii pentru expunerile sale faţă de o CPC după cum urmează: </w:t>
            </w:r>
          </w:p>
          <w:p w14:paraId="7B3C42E2"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(a) aplică tratamentul prevăzut la articolul 306 expunerilor sale din tranzacţii cu respectiva CPC; </w:t>
            </w:r>
          </w:p>
          <w:p w14:paraId="51DEDED2"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(b) aplică tratamentul prevăzut la articolul 307 contribuţiilor sale la fondul de garantare efectuate către CPC. </w:t>
            </w:r>
          </w:p>
          <w:p w14:paraId="7156EDDB" w14:textId="6E170EE7" w:rsidR="0001798B" w:rsidRPr="003B14E9" w:rsidRDefault="0001798B" w:rsidP="0001798B">
            <w:pPr>
              <w:pStyle w:val="title-article-norm"/>
              <w:jc w:val="left"/>
              <w:rPr>
                <w:i w:val="0"/>
                <w:sz w:val="18"/>
                <w:szCs w:val="18"/>
                <w:lang w:val="ro-MD"/>
              </w:rPr>
            </w:pPr>
            <w:r w:rsidRPr="003B14E9">
              <w:rPr>
                <w:rFonts w:eastAsiaTheme="minorHAnsi"/>
                <w:i w:val="0"/>
                <w:iCs w:val="0"/>
                <w:color w:val="000000"/>
                <w:sz w:val="19"/>
                <w:szCs w:val="19"/>
                <w:lang w:val="ro-MD"/>
              </w:rPr>
              <w:t>(2) În sensul alineatului (1), suma cerinţelor de fonduri proprii ale unei instituţii pentru expunerile sale faţă de o CPCC generate de expunerile din tranzacţii și de contribuţiile la fondul de garantare face obiectul unui plafon egal cu suma cerinţelor de fonduri proprii care s- ar aplica expunerilor respective dacă CPC ar fi o CPC necalificată.</w:t>
            </w:r>
          </w:p>
        </w:tc>
        <w:tc>
          <w:tcPr>
            <w:tcW w:w="4425" w:type="dxa"/>
            <w:shd w:val="clear" w:color="auto" w:fill="auto"/>
          </w:tcPr>
          <w:p w14:paraId="05A3B459" w14:textId="77777777" w:rsidR="0001798B" w:rsidRPr="00FF54D1" w:rsidRDefault="0001798B" w:rsidP="0001798B">
            <w:pPr>
              <w:jc w:val="center"/>
              <w:rPr>
                <w:bCs/>
                <w:i/>
                <w:iCs/>
                <w:sz w:val="18"/>
                <w:szCs w:val="18"/>
                <w:lang w:val="ro-MD" w:eastAsia="en-US"/>
              </w:rPr>
            </w:pPr>
            <w:bookmarkStart w:id="6" w:name="_Hlk162995624"/>
            <w:r w:rsidRPr="00FF54D1">
              <w:rPr>
                <w:bCs/>
                <w:i/>
                <w:iCs/>
                <w:sz w:val="18"/>
                <w:szCs w:val="18"/>
                <w:lang w:val="ro-MD" w:eastAsia="en-US"/>
              </w:rPr>
              <w:lastRenderedPageBreak/>
              <w:t>Secţiunea a 3-a</w:t>
            </w:r>
          </w:p>
          <w:bookmarkEnd w:id="6"/>
          <w:p w14:paraId="744A7AB1" w14:textId="77777777" w:rsidR="0001798B" w:rsidRPr="00FF54D1" w:rsidRDefault="0001798B" w:rsidP="0001798B">
            <w:pPr>
              <w:jc w:val="center"/>
              <w:rPr>
                <w:b/>
                <w:sz w:val="18"/>
                <w:szCs w:val="18"/>
                <w:lang w:val="ro-MD" w:eastAsia="en-US"/>
              </w:rPr>
            </w:pPr>
            <w:r w:rsidRPr="00FF54D1">
              <w:rPr>
                <w:b/>
                <w:sz w:val="18"/>
                <w:szCs w:val="18"/>
                <w:lang w:val="ro-MD" w:eastAsia="en-US"/>
              </w:rPr>
              <w:t>Tratamentul expunerilor la CPC-uri ale membrilor compensatori</w:t>
            </w:r>
          </w:p>
          <w:p w14:paraId="6851D9A0" w14:textId="77777777" w:rsidR="0001798B" w:rsidRPr="00FF54D1" w:rsidRDefault="0001798B" w:rsidP="0001798B">
            <w:pPr>
              <w:jc w:val="both"/>
              <w:rPr>
                <w:b/>
                <w:sz w:val="18"/>
                <w:szCs w:val="18"/>
                <w:lang w:val="ro-MD" w:eastAsia="en-US"/>
              </w:rPr>
            </w:pPr>
            <w:r w:rsidRPr="00FF54D1">
              <w:rPr>
                <w:b/>
                <w:sz w:val="18"/>
                <w:szCs w:val="18"/>
                <w:lang w:val="ro-MD" w:eastAsia="en-US"/>
              </w:rPr>
              <w:t xml:space="preserve">109. </w:t>
            </w:r>
            <w:r w:rsidRPr="00FF54D1">
              <w:rPr>
                <w:bCs/>
                <w:sz w:val="18"/>
                <w:szCs w:val="18"/>
                <w:lang w:val="ro-MD" w:eastAsia="en-US"/>
              </w:rPr>
              <w:t xml:space="preserve">O bancă care acţionează ca membru compensator, în scopuri proprii sau în calitate de intermediar financiar între </w:t>
            </w:r>
            <w:r w:rsidRPr="00FF54D1">
              <w:rPr>
                <w:bCs/>
                <w:sz w:val="18"/>
                <w:szCs w:val="18"/>
                <w:lang w:val="ro-MD" w:eastAsia="en-US"/>
              </w:rPr>
              <w:lastRenderedPageBreak/>
              <w:t>un client și o CPC calculează cerinţele de fonduri proprii pentru expunerile sale faţă de o CPC după cum urmează:</w:t>
            </w:r>
          </w:p>
          <w:p w14:paraId="2716BCBF" w14:textId="77777777" w:rsidR="0001798B" w:rsidRPr="00FF54D1" w:rsidRDefault="0001798B" w:rsidP="0001798B">
            <w:pPr>
              <w:jc w:val="both"/>
              <w:rPr>
                <w:bCs/>
                <w:sz w:val="18"/>
                <w:szCs w:val="18"/>
                <w:lang w:val="ro-MD" w:eastAsia="en-US"/>
              </w:rPr>
            </w:pPr>
            <w:r w:rsidRPr="00FF54D1">
              <w:rPr>
                <w:bCs/>
                <w:sz w:val="18"/>
                <w:szCs w:val="18"/>
                <w:lang w:val="ro-MD" w:eastAsia="en-US"/>
              </w:rPr>
              <w:t>1) aplică tratamentul prevăzut la secțiunea a 6-a din prezentul capitol expunerilor sale din tranzacţii cu respectiva CPC;</w:t>
            </w:r>
          </w:p>
          <w:p w14:paraId="2E53BB43" w14:textId="77777777" w:rsidR="0001798B" w:rsidRPr="00FF54D1" w:rsidRDefault="0001798B" w:rsidP="0001798B">
            <w:pPr>
              <w:jc w:val="both"/>
              <w:rPr>
                <w:bCs/>
                <w:sz w:val="18"/>
                <w:szCs w:val="18"/>
                <w:lang w:val="ro-MD" w:eastAsia="en-US"/>
              </w:rPr>
            </w:pPr>
            <w:r w:rsidRPr="00FF54D1">
              <w:rPr>
                <w:bCs/>
                <w:sz w:val="18"/>
                <w:szCs w:val="18"/>
                <w:lang w:val="ro-MD" w:eastAsia="en-US"/>
              </w:rPr>
              <w:t xml:space="preserve">2) aplică tratamentul prevăzut la </w:t>
            </w:r>
            <w:r w:rsidRPr="00FF54D1">
              <w:rPr>
                <w:sz w:val="18"/>
                <w:szCs w:val="18"/>
                <w:lang w:val="ro-MD" w:eastAsia="en-US"/>
              </w:rPr>
              <w:t xml:space="preserve">punctul 126 </w:t>
            </w:r>
            <w:r w:rsidRPr="00FF54D1">
              <w:rPr>
                <w:bCs/>
                <w:sz w:val="18"/>
                <w:szCs w:val="18"/>
                <w:lang w:val="ro-MD" w:eastAsia="en-US"/>
              </w:rPr>
              <w:t>contribuţiilor sale la fondul de garantare efectuate către CPC.</w:t>
            </w:r>
          </w:p>
          <w:p w14:paraId="5D43C4F1" w14:textId="77777777" w:rsidR="0001798B" w:rsidRPr="00FF54D1" w:rsidRDefault="0001798B" w:rsidP="0001798B">
            <w:pPr>
              <w:jc w:val="both"/>
              <w:rPr>
                <w:bCs/>
                <w:sz w:val="18"/>
                <w:szCs w:val="18"/>
                <w:lang w:val="ro-MD" w:eastAsia="en-US"/>
              </w:rPr>
            </w:pPr>
            <w:r w:rsidRPr="00FF54D1">
              <w:rPr>
                <w:b/>
                <w:sz w:val="18"/>
                <w:szCs w:val="18"/>
                <w:lang w:val="ro-MD" w:eastAsia="en-US"/>
              </w:rPr>
              <w:t>110.</w:t>
            </w:r>
            <w:r w:rsidRPr="00FF54D1">
              <w:rPr>
                <w:bCs/>
                <w:sz w:val="18"/>
                <w:szCs w:val="18"/>
                <w:lang w:val="ro-MD" w:eastAsia="en-US"/>
              </w:rPr>
              <w:t xml:space="preserve"> În sensul punctului 109, suma cerinţelor de fonduri proprii ale unei bănci pentru expunerile sale faţă de o CPCC generate de expunerile din tranzacţii și de contribuţiile la fondul de garantare face obiectul unui plafon egal cu suma cerinţelor de fonduri proprii care s- ar aplica expunerilor respective dacă CPC ar fi o CPC necalificată.</w:t>
            </w:r>
          </w:p>
          <w:p w14:paraId="2EEFD243" w14:textId="77777777" w:rsidR="0001798B" w:rsidRPr="003B14E9" w:rsidRDefault="0001798B" w:rsidP="0001798B">
            <w:pPr>
              <w:jc w:val="center"/>
              <w:rPr>
                <w:b/>
                <w:bCs/>
                <w:sz w:val="18"/>
                <w:szCs w:val="18"/>
                <w:lang w:val="ro-MD" w:eastAsia="en-US"/>
              </w:rPr>
            </w:pPr>
          </w:p>
        </w:tc>
        <w:tc>
          <w:tcPr>
            <w:tcW w:w="1160" w:type="dxa"/>
          </w:tcPr>
          <w:p w14:paraId="416216CD" w14:textId="3D3E2FD9"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6B1194BB"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1C83B71B"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04145350" w14:textId="77777777" w:rsidR="0001798B" w:rsidRPr="003B14E9" w:rsidRDefault="0001798B" w:rsidP="0001798B">
            <w:pPr>
              <w:jc w:val="both"/>
              <w:rPr>
                <w:sz w:val="18"/>
                <w:szCs w:val="18"/>
                <w:lang w:val="ro-MD"/>
              </w:rPr>
            </w:pPr>
          </w:p>
        </w:tc>
      </w:tr>
      <w:tr w:rsidR="0001798B" w:rsidRPr="003B14E9" w14:paraId="4BEFC487" w14:textId="77777777" w:rsidTr="00604EF1">
        <w:trPr>
          <w:trHeight w:val="918"/>
        </w:trPr>
        <w:tc>
          <w:tcPr>
            <w:tcW w:w="4473" w:type="dxa"/>
          </w:tcPr>
          <w:p w14:paraId="335088CE"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i/>
                <w:iCs/>
                <w:color w:val="000000"/>
                <w:sz w:val="19"/>
                <w:szCs w:val="19"/>
                <w:lang w:val="ro-MD" w:eastAsia="en-US"/>
              </w:rPr>
              <w:t xml:space="preserve">Articolul 304 </w:t>
            </w:r>
          </w:p>
          <w:p w14:paraId="339D22A0"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b/>
                <w:bCs/>
                <w:color w:val="000000"/>
                <w:sz w:val="19"/>
                <w:szCs w:val="19"/>
                <w:lang w:val="ro-MD" w:eastAsia="en-US"/>
              </w:rPr>
              <w:t xml:space="preserve">Tratamentul expunerilor membrilor compensatori la clienţi </w:t>
            </w:r>
          </w:p>
          <w:p w14:paraId="2E461B29"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(1) O instituţie care acţionează ca membru compensator și care, în această calitate, acţionează ca intermediar financiar între un client și o CPC calculează cerinţele de fonduri proprii pentru tranzacţiile sale cu clientul respectiv legate de CPC în conformitate cu secţiunile 1-8 din prezentul capitol, cu capitolul 4 secţiunea 4 din prezentul titlu și cu titlul VI, după caz. </w:t>
            </w:r>
          </w:p>
          <w:p w14:paraId="528CAEDD"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(2) Dacă o instituţie care acţionează ca membru compensator încheie un acord contractual cu un client al unui alt membru compensator care facilitează clientului respectiv, în conformitate cu articolul 48 alineatele (5) și (6) din Regulamentul (UE) nr. </w:t>
            </w:r>
            <w:r w:rsidRPr="00DF075A">
              <w:rPr>
                <w:rFonts w:eastAsiaTheme="minorHAnsi"/>
                <w:color w:val="000000"/>
                <w:sz w:val="19"/>
                <w:szCs w:val="19"/>
                <w:lang w:val="ro-MD" w:eastAsia="en-US"/>
              </w:rPr>
              <w:lastRenderedPageBreak/>
              <w:t xml:space="preserve">648/2012, transferul poziţiilor și al garanţiilor reale menţionate la articolul 305 alineatul (2) litera (b) din prezentul regulament și dacă respectivul acord contractual antrenează o obligaţie contingentă pentru respectiva instituţie, instituţia poate atribui o valoare a expunerii egală cu zero obligaţiei contingente respective. </w:t>
            </w:r>
          </w:p>
          <w:p w14:paraId="7A1D2C3F"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(3) În cazul în care o instituţie care acţionează ca membru compensator utilizează metodele prevăzute în secţiunea 3 sau 6 din prezentul capitol pentru a calcula cerinţa de fonduri proprii pentru expunerile sale, se aplică următoarele dispoziţii: </w:t>
            </w:r>
          </w:p>
          <w:p w14:paraId="4C377688"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(a) prin derogare de la articolul 285 alineatul (2), instituţia poate utiliza o perioadă de risc de marjă de cel puţin cinci zile lucrătoare pentru expunerile sale la un client; </w:t>
            </w:r>
          </w:p>
          <w:p w14:paraId="06CB0CD0"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(b) instituţia aplică o perioadă de risc de marjă de cel puţin 10 zile lucrătoare pentru expunerile sale la o CPC; </w:t>
            </w:r>
          </w:p>
          <w:p w14:paraId="36B72D07"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(c) prin derogare de la articolul 285 alineatul (3), în cazul în care un set de compensare inclus în calcul îndeplinește condiţia prevăzută la litera (a) de la alineatul respectiv, instituţia poate să nu ţină seama de limita stabilită la litera respectivă, cu condiţia ca setul de compensare să nu îndeplinească cerinţa prevăzută la litera (b) de la alineatul respectiv și să nu conţină tranzacţii contestate sau opţiuni exotice; </w:t>
            </w:r>
          </w:p>
          <w:p w14:paraId="2C47387D"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(d) în cazul în care o CPC reţine o marjă de variaţie faţă de o tranzacţie și garanţiile reale ale instituţiei nu sunt protejate în cazul insolvenţei respectivei CPC, instituţia aplică o perioadă de risc de marjă egală cu valoarea cea mai mică dintre un an și scadenţa reziduală a tranzacţiei, cu un prag de 10 zile lucrătoare. </w:t>
            </w:r>
          </w:p>
          <w:p w14:paraId="434EF02C"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lastRenderedPageBreak/>
              <w:t xml:space="preserve">(4) Prin derogare de la articolul 281 alineatul (2) litera (i), în cazul în care o instituţie care acţionează ca membru compensator utilizează metoda prevăzută în secţiunea 4 pentru a calcula cerinţa de fonduri proprii aferentă expunerilor sale la un client, instituţia poate utiliza un factor de scadenţă de 0,21 pentru efectuarea calculului. </w:t>
            </w:r>
          </w:p>
          <w:p w14:paraId="46609CE1"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(5) Prin derogare de la articolul 282 alineatul (4) litera (d), în cazul în care o instituţie care acţionează ca membru compensator utilizează metoda prevăzută în secţiunea 5 pentru a calcula cerinţa de fonduri proprii aferentă expunerilor sale la un client, instituţia respectivă poate utiliza un factor de scadenţă de 0,21 la calculul respectiv. </w:t>
            </w:r>
          </w:p>
          <w:p w14:paraId="036F35DD"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(6) O instituţie care acţionează ca membru compensator poate utiliza valoarea redusă a expunerii în caz de nerambursare rezultată din calculele menţionate la alineatele (3), (4) și (5) pentru a-și calcula cerinţele de fonduri proprii pentru riscul CVA în conformitate cu titlul VI. </w:t>
            </w:r>
          </w:p>
          <w:p w14:paraId="5C7215C2"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(7) O instituţie care acţionează ca membru compensator care colectează garanţii reale de la un client pentru o tranzacţie legată de o CPC și transferă garanţiile reale către CPC poate recunoaște garanţiile respective pentru a-și reduce expunerea la client pentru tranzacţia respectivă legată de CPC. </w:t>
            </w:r>
          </w:p>
          <w:p w14:paraId="1E6F9C82" w14:textId="1FB98F57" w:rsidR="0001798B" w:rsidRPr="003B14E9" w:rsidRDefault="0001798B" w:rsidP="0001798B">
            <w:pPr>
              <w:pStyle w:val="title-article-norm"/>
              <w:jc w:val="left"/>
              <w:rPr>
                <w:i w:val="0"/>
                <w:sz w:val="18"/>
                <w:szCs w:val="18"/>
                <w:lang w:val="ro-MD"/>
              </w:rPr>
            </w:pPr>
            <w:r w:rsidRPr="003B14E9">
              <w:rPr>
                <w:rFonts w:eastAsiaTheme="minorHAnsi"/>
                <w:i w:val="0"/>
                <w:iCs w:val="0"/>
                <w:color w:val="000000"/>
                <w:sz w:val="19"/>
                <w:szCs w:val="19"/>
                <w:lang w:val="ro-MD"/>
              </w:rPr>
              <w:t>În cazul unei structuri a clientelei pe mai multe niveluri, tratamentul prevăzut la primul paragraf poate fi aplicat la fiecare nivel al structurii respective.</w:t>
            </w:r>
          </w:p>
        </w:tc>
        <w:tc>
          <w:tcPr>
            <w:tcW w:w="4425" w:type="dxa"/>
            <w:shd w:val="clear" w:color="auto" w:fill="auto"/>
          </w:tcPr>
          <w:p w14:paraId="2CBCCA9B" w14:textId="77777777" w:rsidR="0001798B" w:rsidRPr="00FF54D1" w:rsidRDefault="0001798B" w:rsidP="0001798B">
            <w:pPr>
              <w:jc w:val="center"/>
              <w:rPr>
                <w:bCs/>
                <w:i/>
                <w:iCs/>
                <w:sz w:val="18"/>
                <w:szCs w:val="18"/>
                <w:lang w:val="ro-MD" w:eastAsia="en-US"/>
              </w:rPr>
            </w:pPr>
            <w:r w:rsidRPr="00FF54D1">
              <w:rPr>
                <w:bCs/>
                <w:i/>
                <w:iCs/>
                <w:sz w:val="18"/>
                <w:szCs w:val="18"/>
                <w:lang w:val="ro-MD" w:eastAsia="en-US"/>
              </w:rPr>
              <w:lastRenderedPageBreak/>
              <w:t>Secţiunea a 4-a</w:t>
            </w:r>
          </w:p>
          <w:p w14:paraId="61B57985" w14:textId="77777777" w:rsidR="0001798B" w:rsidRPr="00FF54D1" w:rsidRDefault="0001798B" w:rsidP="0001798B">
            <w:pPr>
              <w:jc w:val="center"/>
              <w:rPr>
                <w:b/>
                <w:sz w:val="18"/>
                <w:szCs w:val="18"/>
                <w:lang w:val="ro-MD" w:eastAsia="en-US"/>
              </w:rPr>
            </w:pPr>
            <w:r w:rsidRPr="00FF54D1">
              <w:rPr>
                <w:b/>
                <w:sz w:val="18"/>
                <w:szCs w:val="18"/>
                <w:lang w:val="ro-MD" w:eastAsia="en-US"/>
              </w:rPr>
              <w:t>Tratamentul expunerilor membrilor compensatori la clienţi</w:t>
            </w:r>
          </w:p>
          <w:p w14:paraId="0A03BBA9" w14:textId="77777777" w:rsidR="0001798B" w:rsidRPr="00FF54D1" w:rsidRDefault="0001798B" w:rsidP="0001798B">
            <w:pPr>
              <w:jc w:val="both"/>
              <w:rPr>
                <w:bCs/>
                <w:sz w:val="18"/>
                <w:szCs w:val="18"/>
                <w:lang w:val="ro-MD" w:eastAsia="en-US"/>
              </w:rPr>
            </w:pPr>
            <w:r w:rsidRPr="00FF54D1">
              <w:rPr>
                <w:b/>
                <w:sz w:val="18"/>
                <w:szCs w:val="18"/>
                <w:lang w:val="ro-MD" w:eastAsia="en-US"/>
              </w:rPr>
              <w:t xml:space="preserve">111. </w:t>
            </w:r>
            <w:r w:rsidRPr="00FF54D1">
              <w:rPr>
                <w:bCs/>
                <w:sz w:val="18"/>
                <w:szCs w:val="18"/>
                <w:lang w:val="ro-MD" w:eastAsia="en-US"/>
              </w:rPr>
              <w:t xml:space="preserve">O bancă care acţionează ca membru compensator și care, în această calitate, acţionează ca intermediar financiar între un client și o CPC calculează cerinţele de fonduri proprii pentru tranzacţiile sale cu clientul respectiv legate de CPC în conformitate cu </w:t>
            </w:r>
            <w:bookmarkStart w:id="7" w:name="_Hlk163077722"/>
            <w:r w:rsidRPr="00FF54D1">
              <w:rPr>
                <w:bCs/>
                <w:sz w:val="18"/>
                <w:szCs w:val="18"/>
                <w:lang w:val="ro-MD" w:eastAsia="en-US"/>
              </w:rPr>
              <w:t>capitolele I - VII din prezentul regulament</w:t>
            </w:r>
            <w:bookmarkEnd w:id="7"/>
            <w:r w:rsidRPr="00FF54D1">
              <w:rPr>
                <w:bCs/>
                <w:sz w:val="18"/>
                <w:szCs w:val="18"/>
                <w:lang w:val="ro-MD" w:eastAsia="en-US"/>
              </w:rPr>
              <w:t>, cu prevederile Regulamentului nr.112/2018 cu privire la tehnicile de diminuare a riscului de credit utilizate de bănci și ale Regulamentului nr.103/2020 cu privire la tratamentul riscului de ajustare a evaluării creditului pentru bănci, după caz.</w:t>
            </w:r>
          </w:p>
          <w:p w14:paraId="4C42FBCA" w14:textId="77777777" w:rsidR="0001798B" w:rsidRPr="00FF54D1" w:rsidRDefault="0001798B" w:rsidP="0001798B">
            <w:pPr>
              <w:jc w:val="both"/>
              <w:rPr>
                <w:bCs/>
                <w:sz w:val="18"/>
                <w:szCs w:val="18"/>
                <w:lang w:val="ro-MD" w:eastAsia="en-US"/>
              </w:rPr>
            </w:pPr>
            <w:r w:rsidRPr="00FF54D1">
              <w:rPr>
                <w:b/>
                <w:sz w:val="18"/>
                <w:szCs w:val="18"/>
                <w:lang w:val="ro-MD" w:eastAsia="en-US"/>
              </w:rPr>
              <w:t>112.</w:t>
            </w:r>
            <w:r w:rsidRPr="00FF54D1">
              <w:rPr>
                <w:bCs/>
                <w:sz w:val="18"/>
                <w:szCs w:val="18"/>
                <w:lang w:val="ro-MD" w:eastAsia="en-US"/>
              </w:rPr>
              <w:t xml:space="preserve"> Dacă o bancă care acţionează ca membru compensator încheie un acord contractual cu un client al unui alt membru compensator care facilitează clientului respectiv, transferul poziţiilor și al garanţiilor reale menţionate la </w:t>
            </w:r>
            <w:r w:rsidRPr="00FF54D1">
              <w:rPr>
                <w:bCs/>
                <w:sz w:val="18"/>
                <w:szCs w:val="18"/>
                <w:lang w:val="ro-MD" w:eastAsia="en-US"/>
              </w:rPr>
              <w:lastRenderedPageBreak/>
              <w:t xml:space="preserve">punctul 119 subpunctul 2) din prezentul regulament și dacă respectivul acord contractual antrenează o obligaţie contingentă pentru respectiva bancă, banca poate atribui o valoare a expunerii egală cu zero obligaţiei contingente respective. </w:t>
            </w:r>
          </w:p>
          <w:p w14:paraId="40C25378" w14:textId="77777777" w:rsidR="0001798B" w:rsidRPr="00FF54D1" w:rsidRDefault="0001798B" w:rsidP="0001798B">
            <w:pPr>
              <w:jc w:val="both"/>
              <w:rPr>
                <w:bCs/>
                <w:sz w:val="18"/>
                <w:szCs w:val="18"/>
                <w:lang w:val="ro-MD" w:eastAsia="en-US"/>
              </w:rPr>
            </w:pPr>
            <w:r w:rsidRPr="00FF54D1">
              <w:rPr>
                <w:b/>
                <w:sz w:val="18"/>
                <w:szCs w:val="18"/>
                <w:lang w:val="ro-MD" w:eastAsia="en-US"/>
              </w:rPr>
              <w:t>113.</w:t>
            </w:r>
            <w:r w:rsidRPr="00FF54D1">
              <w:rPr>
                <w:bCs/>
                <w:sz w:val="18"/>
                <w:szCs w:val="18"/>
                <w:lang w:val="ro-MD" w:eastAsia="en-US"/>
              </w:rPr>
              <w:t xml:space="preserve"> În cazul în care o bancă care acţionează ca membru compensator utilizează metodele prevăzute în capitolul III din prezentul regulament pentru a calcula cerinţa de fonduri proprii pentru expunerile sale, se aplică următoarele dispoziţii:</w:t>
            </w:r>
          </w:p>
          <w:p w14:paraId="7A08E953" w14:textId="77777777" w:rsidR="0001798B" w:rsidRPr="00FF54D1" w:rsidRDefault="0001798B" w:rsidP="0001798B">
            <w:pPr>
              <w:jc w:val="both"/>
              <w:rPr>
                <w:bCs/>
                <w:sz w:val="18"/>
                <w:szCs w:val="18"/>
                <w:lang w:val="ro-MD" w:eastAsia="en-US"/>
              </w:rPr>
            </w:pPr>
            <w:r w:rsidRPr="00FF54D1">
              <w:rPr>
                <w:bCs/>
                <w:sz w:val="18"/>
                <w:szCs w:val="18"/>
                <w:lang w:val="ro-MD" w:eastAsia="en-US"/>
              </w:rPr>
              <w:t>1) banca poate utiliza o perioadă de risc de marjă de cel puţin cinci zile lucrătoare pentru expunerile sale la un client;</w:t>
            </w:r>
          </w:p>
          <w:p w14:paraId="42EC00F9" w14:textId="77777777" w:rsidR="0001798B" w:rsidRPr="00FF54D1" w:rsidRDefault="0001798B" w:rsidP="0001798B">
            <w:pPr>
              <w:jc w:val="both"/>
              <w:rPr>
                <w:bCs/>
                <w:sz w:val="18"/>
                <w:szCs w:val="18"/>
                <w:lang w:val="ro-MD" w:eastAsia="en-US"/>
              </w:rPr>
            </w:pPr>
            <w:r w:rsidRPr="00FF54D1">
              <w:rPr>
                <w:bCs/>
                <w:sz w:val="18"/>
                <w:szCs w:val="18"/>
                <w:lang w:val="ro-MD" w:eastAsia="en-US"/>
              </w:rPr>
              <w:t>2) banca aplică o perioadă de risc de marjă de cel puţin 10 zile lucrătoare pentru expunerile sale la o CPC;</w:t>
            </w:r>
          </w:p>
          <w:p w14:paraId="72EE38FB" w14:textId="77777777" w:rsidR="0001798B" w:rsidRPr="00FF54D1" w:rsidRDefault="0001798B" w:rsidP="0001798B">
            <w:pPr>
              <w:jc w:val="both"/>
              <w:rPr>
                <w:bCs/>
                <w:sz w:val="18"/>
                <w:szCs w:val="18"/>
                <w:lang w:val="ro-MD" w:eastAsia="en-US"/>
              </w:rPr>
            </w:pPr>
            <w:r w:rsidRPr="00FF54D1">
              <w:rPr>
                <w:bCs/>
                <w:sz w:val="18"/>
                <w:szCs w:val="18"/>
                <w:lang w:val="ro-MD" w:eastAsia="en-US"/>
              </w:rPr>
              <w:t>3) în cazul în care un set de compensare inclus în calcul îndeplinește condiţia prevăzută la subpunctul 1) de la punctul respectiv, banca poate să nu ţină seama de limita stabilită la subpunctul respectiv, cu condiţia ca setul de compensare să nu îndeplinească cerinţa prevăzută la subpunctul 2) de la punctul respectiv și să nu conţină tranzacţii contestate sau opţiuni exotice;</w:t>
            </w:r>
          </w:p>
          <w:p w14:paraId="380CDDEF" w14:textId="77777777" w:rsidR="0001798B" w:rsidRPr="00FF54D1" w:rsidRDefault="0001798B" w:rsidP="0001798B">
            <w:pPr>
              <w:jc w:val="both"/>
              <w:rPr>
                <w:bCs/>
                <w:sz w:val="18"/>
                <w:szCs w:val="18"/>
                <w:lang w:val="ro-MD" w:eastAsia="en-US"/>
              </w:rPr>
            </w:pPr>
            <w:r w:rsidRPr="00FF54D1">
              <w:rPr>
                <w:bCs/>
                <w:sz w:val="18"/>
                <w:szCs w:val="18"/>
                <w:lang w:val="ro-MD" w:eastAsia="en-US"/>
              </w:rPr>
              <w:t>4) în cazul în care o CPC reţine o marjă de variaţie faţă de o tranzacţie și garanţiile reale ale băncii nu sunt protejate în cazul insolvenţei respectivei CPC, banca aplică o perioadă de risc de marjă egală cu valoarea cea mai mică dintre un an și scadenţa reziduală a tranzacţiei, cu un prag de 10 zile lucrătoare.</w:t>
            </w:r>
          </w:p>
          <w:p w14:paraId="60AAF144" w14:textId="77777777" w:rsidR="0001798B" w:rsidRPr="00FF54D1" w:rsidRDefault="0001798B" w:rsidP="0001798B">
            <w:pPr>
              <w:jc w:val="both"/>
              <w:rPr>
                <w:bCs/>
                <w:sz w:val="18"/>
                <w:szCs w:val="18"/>
                <w:lang w:val="ro-MD" w:eastAsia="en-US"/>
              </w:rPr>
            </w:pPr>
            <w:r w:rsidRPr="00FF54D1">
              <w:rPr>
                <w:b/>
                <w:sz w:val="18"/>
                <w:szCs w:val="18"/>
                <w:lang w:val="ro-MD" w:eastAsia="en-US"/>
              </w:rPr>
              <w:t>114.</w:t>
            </w:r>
            <w:r w:rsidRPr="00FF54D1">
              <w:rPr>
                <w:bCs/>
                <w:sz w:val="18"/>
                <w:szCs w:val="18"/>
                <w:lang w:val="ro-MD" w:eastAsia="en-US"/>
              </w:rPr>
              <w:t xml:space="preserve"> Prin derogare de la punctul 85 subpunctul 8), în cazul în care o bancă care acţionează ca membru compensator utilizează metoda prevăzută în capitolul IV pentru a calcula cerinţa de fonduri proprii aferentă expunerilor sale la un client, banca poate utiliza un factor de scadenţă de 0,21 pentru efectuarea calculului.</w:t>
            </w:r>
          </w:p>
          <w:p w14:paraId="18F69692" w14:textId="77777777" w:rsidR="0001798B" w:rsidRPr="00FF54D1" w:rsidRDefault="0001798B" w:rsidP="0001798B">
            <w:pPr>
              <w:jc w:val="both"/>
              <w:rPr>
                <w:bCs/>
                <w:sz w:val="18"/>
                <w:szCs w:val="18"/>
                <w:lang w:val="ro-MD" w:eastAsia="en-US"/>
              </w:rPr>
            </w:pPr>
            <w:r w:rsidRPr="00FF54D1">
              <w:rPr>
                <w:b/>
                <w:sz w:val="18"/>
                <w:szCs w:val="18"/>
                <w:lang w:val="ro-MD" w:eastAsia="en-US"/>
              </w:rPr>
              <w:t>115.</w:t>
            </w:r>
            <w:r w:rsidRPr="00FF54D1">
              <w:rPr>
                <w:bCs/>
                <w:sz w:val="18"/>
                <w:szCs w:val="18"/>
                <w:lang w:val="ro-MD" w:eastAsia="en-US"/>
              </w:rPr>
              <w:t xml:space="preserve"> Prin derogare de la punctul 89 subpunctul 4), în cazul în care o bancă care acţionează ca membru compensator utilizează metoda prevăzută în capitolul V pentru a calcula cerinţa de fonduri proprii aferentă expunerilor sale la un </w:t>
            </w:r>
            <w:r w:rsidRPr="00FF54D1">
              <w:rPr>
                <w:bCs/>
                <w:sz w:val="18"/>
                <w:szCs w:val="18"/>
                <w:lang w:val="ro-MD" w:eastAsia="en-US"/>
              </w:rPr>
              <w:lastRenderedPageBreak/>
              <w:t>client, banca respectivă poate utiliza un factor de scadenţă de 0,21 la calculul respectiv.</w:t>
            </w:r>
          </w:p>
          <w:p w14:paraId="46FB22D9" w14:textId="77777777" w:rsidR="0001798B" w:rsidRPr="00FF54D1" w:rsidRDefault="0001798B" w:rsidP="0001798B">
            <w:pPr>
              <w:jc w:val="both"/>
              <w:rPr>
                <w:bCs/>
                <w:sz w:val="18"/>
                <w:szCs w:val="18"/>
                <w:lang w:val="ro-MD" w:eastAsia="en-US"/>
              </w:rPr>
            </w:pPr>
            <w:r w:rsidRPr="00FF54D1">
              <w:rPr>
                <w:b/>
                <w:sz w:val="18"/>
                <w:szCs w:val="18"/>
                <w:lang w:val="ro-MD" w:eastAsia="en-US"/>
              </w:rPr>
              <w:t>116.</w:t>
            </w:r>
            <w:r w:rsidRPr="00FF54D1">
              <w:rPr>
                <w:bCs/>
                <w:sz w:val="18"/>
                <w:szCs w:val="18"/>
                <w:lang w:val="ro-MD" w:eastAsia="en-US"/>
              </w:rPr>
              <w:t xml:space="preserve"> O bancă care acţionează ca membru compensator poate utiliza valoarea redusă a expunerii în caz de nerambursare rezultată din calculele menţionate la punctele 113, 114 și 115 pentru a-și calcula cerinţele de fonduri proprii pentru riscul CVA în conformitate cu Regulamentul nr.103/2020 cu privire la tratamentul riscului de ajustare a evaluării creditului pentru bănci.</w:t>
            </w:r>
          </w:p>
          <w:p w14:paraId="2B74C76F" w14:textId="77777777" w:rsidR="0001798B" w:rsidRPr="00FF54D1" w:rsidRDefault="0001798B" w:rsidP="0001798B">
            <w:pPr>
              <w:jc w:val="both"/>
              <w:rPr>
                <w:bCs/>
                <w:sz w:val="18"/>
                <w:szCs w:val="18"/>
                <w:lang w:val="ro-MD" w:eastAsia="en-US"/>
              </w:rPr>
            </w:pPr>
            <w:r w:rsidRPr="00FF54D1">
              <w:rPr>
                <w:b/>
                <w:sz w:val="18"/>
                <w:szCs w:val="18"/>
                <w:lang w:val="ro-MD" w:eastAsia="en-US"/>
              </w:rPr>
              <w:t>117.</w:t>
            </w:r>
            <w:r w:rsidRPr="00FF54D1">
              <w:rPr>
                <w:bCs/>
                <w:sz w:val="18"/>
                <w:szCs w:val="18"/>
                <w:lang w:val="ro-MD" w:eastAsia="en-US"/>
              </w:rPr>
              <w:t xml:space="preserve"> O bancă care acţionează ca membru compensator care colectează garanţii reale de la un client pentru o tranzacţie legată de o CPC și transferă garanţiile reale către CPC poate recunoaște garanţiile respective pentru a-și reduce expunerea la client pentru tranzacţia respectivă legată de CPC. </w:t>
            </w:r>
          </w:p>
          <w:p w14:paraId="3A13B6AE" w14:textId="77777777" w:rsidR="0001798B" w:rsidRPr="00FF54D1" w:rsidRDefault="0001798B" w:rsidP="0001798B">
            <w:pPr>
              <w:jc w:val="both"/>
              <w:rPr>
                <w:bCs/>
                <w:sz w:val="18"/>
                <w:szCs w:val="18"/>
                <w:lang w:val="ro-MD" w:eastAsia="en-US"/>
              </w:rPr>
            </w:pPr>
            <w:r w:rsidRPr="00FF54D1">
              <w:rPr>
                <w:bCs/>
                <w:sz w:val="18"/>
                <w:szCs w:val="18"/>
                <w:lang w:val="ro-MD" w:eastAsia="en-US"/>
              </w:rPr>
              <w:t>În cazul unei structuri a clientelei pe mai multe niveluri, tratamentul prevăzut la primul paragraf poate fi aplicat la fiecare nivel al structurii respective.</w:t>
            </w:r>
          </w:p>
          <w:p w14:paraId="3AD3D9CE" w14:textId="77777777" w:rsidR="0001798B" w:rsidRPr="003B14E9" w:rsidRDefault="0001798B" w:rsidP="0001798B">
            <w:pPr>
              <w:jc w:val="center"/>
              <w:rPr>
                <w:b/>
                <w:bCs/>
                <w:sz w:val="18"/>
                <w:szCs w:val="18"/>
                <w:lang w:val="ro-MD" w:eastAsia="en-US"/>
              </w:rPr>
            </w:pPr>
          </w:p>
        </w:tc>
        <w:tc>
          <w:tcPr>
            <w:tcW w:w="1160" w:type="dxa"/>
          </w:tcPr>
          <w:p w14:paraId="6C577E9D" w14:textId="2F638FE1"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73A13183"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09F55EC3"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25410F2C" w14:textId="77777777" w:rsidR="0001798B" w:rsidRPr="003B14E9" w:rsidRDefault="0001798B" w:rsidP="0001798B">
            <w:pPr>
              <w:jc w:val="both"/>
              <w:rPr>
                <w:sz w:val="18"/>
                <w:szCs w:val="18"/>
                <w:lang w:val="ro-MD"/>
              </w:rPr>
            </w:pPr>
          </w:p>
        </w:tc>
      </w:tr>
      <w:tr w:rsidR="0001798B" w:rsidRPr="003B14E9" w14:paraId="763C5130" w14:textId="77777777" w:rsidTr="00604EF1">
        <w:trPr>
          <w:trHeight w:val="918"/>
        </w:trPr>
        <w:tc>
          <w:tcPr>
            <w:tcW w:w="4473" w:type="dxa"/>
          </w:tcPr>
          <w:p w14:paraId="0E5BA0DF" w14:textId="19937871"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i/>
                <w:iCs/>
                <w:color w:val="000000"/>
                <w:sz w:val="19"/>
                <w:szCs w:val="19"/>
                <w:lang w:val="ro-MD" w:eastAsia="en-US"/>
              </w:rPr>
              <w:lastRenderedPageBreak/>
              <w:t xml:space="preserve">Articolul 305 </w:t>
            </w:r>
            <w:r w:rsidRPr="00DF075A">
              <w:rPr>
                <w:rFonts w:eastAsiaTheme="minorHAnsi"/>
                <w:b/>
                <w:bCs/>
                <w:color w:val="000000"/>
                <w:sz w:val="19"/>
                <w:szCs w:val="19"/>
                <w:lang w:val="ro-MD" w:eastAsia="en-US"/>
              </w:rPr>
              <w:t xml:space="preserve">Tratamentul expunerilor clienţilor </w:t>
            </w:r>
          </w:p>
          <w:p w14:paraId="6C373485"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(1) O instituţie care este client calculează cerinţele de fonduri proprii pentru tranzacţiile sale legate de o CPC cu membrul său compensator în conformitate cu secţiunile 1-8 din prezentul capitol, cu capitolul 4 secţiunea 4 din prezentul titlu și cu titlul VI, după caz. </w:t>
            </w:r>
          </w:p>
          <w:p w14:paraId="1CE6C449"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(2) Fără a aduce atingere abordării prevăzute la alineatul (1), în cazul în care o instituţie este client, aceasta poate calcula cerinţele de fonduri proprii pentru expunerile sale din tranzacţii în cazul tranzacţiilor cu membrul compensator legate de CPC în conformitate cu articolul 306, dacă sunt îndeplinite cumulativ următoarele condiţii: </w:t>
            </w:r>
          </w:p>
          <w:p w14:paraId="5C04E2A2"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(a) poziţiile și activele instituţiei legate de tranzacţiile în cauză sunt distinse și separate, atât la nivelul membrului compensator, cât și al CPC, de poziţiile și activele membrului compensator și ale celorlalţi clienţi ai membrului compensator și, ca urmare a acestei distincţii și separări, poziţiile și activele respective ale instituţiei sunt indisponibile în cazul în care membrul compensator ori unul sau mai mulţi dintre clienţii săi intră în stare de nerambursare sau în insolvenţă; </w:t>
            </w:r>
          </w:p>
          <w:p w14:paraId="427750F2"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(b) legislaţia, reglementările și normele, precum și acordurile contractuale aplicabile instituţiei sau CPC ori obligatorii pentru acestea facilitează transferul poziţiilor clientului legate de contractele și de tranzacţiile în cauză și al garanţiilor reale aferente către un alt membru compensator în perioada de risc de marjă aplicabilă, în cazul în care membrul compensator iniţial intră în stare de nerambursare sau în insolvenţă. În această situaţie, poziţiile clientului și garanţiile reale se transferă la valoarea de piaţă, cu excepţia cazului în care clientul solicită închiderea poziţiei la valoarea de piaţă; </w:t>
            </w:r>
          </w:p>
          <w:p w14:paraId="7669238F"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lastRenderedPageBreak/>
              <w:t xml:space="preserve">(c) clientul a efectuat și a menţinut la zi o analiză juridică suficient de aprofundată, care demonstrează că modalităţile prin care se asigură îndeplinirea condiţiei prevăzute la litera (b) sunt legale, valabile, obligatorii și executorii din punct de vedere juridic în temeiul legislaţiei relevante ale jurisdicţiei sau jurisdicţiilor relevante; </w:t>
            </w:r>
          </w:p>
          <w:p w14:paraId="3A862860"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(d) CPC este o CPCC. </w:t>
            </w:r>
          </w:p>
          <w:p w14:paraId="47C7B56E"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Atunci când o instituţie evaluează dacă respectă condiţia prevăzută la primul paragraf litera (b), aceasta poate lua în considerare orice precedent clar în materie de transferuri ale poziţiilor clienţilor și ale garanţiilor reale corespunzătoare la nivelul unei CPC, precum și orice intenţie din partea sectorului de a continua această practică. </w:t>
            </w:r>
          </w:p>
          <w:p w14:paraId="53880C89"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(3) Prin derogare de la alineatul (2) din prezentul articol, în cazul în care o instituţie care este client nu îndeplinește condiţia prevăzută la litera (a) de la alineatul menţionat deoarece nu este protejată de pierderi în situaţia în care membrul compensator și un alt client al membrului compensator intră împreună în stare de nerambursare, sub rezerva îndeplinirii tuturor celelalte condiţii prevăzute la literele (a)-(d) de la alineatul menţionat sunt îndeplinite, instituţia poate calcula cerinţele de fonduri proprii pentru expunerile sale din tranzacţii în cazul tranzacţiilor cu membrul său compensator legate de o CPC în conformitate cu articolul 306, sub rezerva înlocuirii ponderii de risc de 2 % prevăzute la articolul 306 alineatul (1) litera (a) cu o pondere de risc de 4 %. </w:t>
            </w:r>
          </w:p>
          <w:p w14:paraId="7A6559A1" w14:textId="2555B9DD" w:rsidR="0001798B" w:rsidRPr="003B14E9" w:rsidRDefault="0001798B" w:rsidP="0001798B">
            <w:pPr>
              <w:autoSpaceDE w:val="0"/>
              <w:autoSpaceDN w:val="0"/>
              <w:adjustRightInd w:val="0"/>
              <w:spacing w:before="60" w:after="60"/>
              <w:rPr>
                <w:rFonts w:eastAsiaTheme="minorHAnsi"/>
                <w:i/>
                <w:iCs/>
                <w:color w:val="000000"/>
                <w:sz w:val="19"/>
                <w:szCs w:val="19"/>
                <w:lang w:val="ro-MD" w:eastAsia="en-US"/>
              </w:rPr>
            </w:pPr>
            <w:r w:rsidRPr="003B14E9">
              <w:rPr>
                <w:rFonts w:eastAsiaTheme="minorHAnsi"/>
                <w:color w:val="000000"/>
                <w:sz w:val="19"/>
                <w:szCs w:val="19"/>
                <w:lang w:val="ro-MD"/>
              </w:rPr>
              <w:t xml:space="preserve">(4) În cazul unei structuri a clientelei pe mai multe niveluri, o instituţie care este client de nivel inferior și </w:t>
            </w:r>
            <w:r w:rsidRPr="003B14E9">
              <w:rPr>
                <w:rFonts w:eastAsiaTheme="minorHAnsi"/>
                <w:color w:val="000000"/>
                <w:sz w:val="19"/>
                <w:szCs w:val="19"/>
                <w:lang w:val="ro-MD"/>
              </w:rPr>
              <w:lastRenderedPageBreak/>
              <w:t xml:space="preserve">care accesează serviciile unei CPC prin intermediul unui client de nivel superior poate aplica tratamentul menţionat la alineatul (2) sau (3) numai în cazul în care condiţiile prevăzute la alineatele respective sunt îndeplinite la fiecare nivel al structurii în cauză. </w:t>
            </w:r>
          </w:p>
        </w:tc>
        <w:tc>
          <w:tcPr>
            <w:tcW w:w="4425" w:type="dxa"/>
            <w:shd w:val="clear" w:color="auto" w:fill="auto"/>
          </w:tcPr>
          <w:p w14:paraId="64C821CF" w14:textId="77777777" w:rsidR="0001798B" w:rsidRPr="00FF54D1" w:rsidRDefault="0001798B" w:rsidP="0001798B">
            <w:pPr>
              <w:jc w:val="center"/>
              <w:rPr>
                <w:bCs/>
                <w:i/>
                <w:iCs/>
                <w:sz w:val="18"/>
                <w:szCs w:val="18"/>
                <w:lang w:val="ro-MD" w:eastAsia="en-US"/>
              </w:rPr>
            </w:pPr>
            <w:bookmarkStart w:id="8" w:name="_Hlk162996977"/>
            <w:r w:rsidRPr="00FF54D1">
              <w:rPr>
                <w:bCs/>
                <w:i/>
                <w:iCs/>
                <w:sz w:val="18"/>
                <w:szCs w:val="18"/>
                <w:lang w:val="ro-MD" w:eastAsia="en-US"/>
              </w:rPr>
              <w:lastRenderedPageBreak/>
              <w:t>Secţiunea a 5-a</w:t>
            </w:r>
          </w:p>
          <w:bookmarkEnd w:id="8"/>
          <w:p w14:paraId="6CC5E9D3" w14:textId="77777777" w:rsidR="0001798B" w:rsidRPr="00FF54D1" w:rsidRDefault="0001798B" w:rsidP="0001798B">
            <w:pPr>
              <w:jc w:val="center"/>
              <w:rPr>
                <w:b/>
                <w:sz w:val="18"/>
                <w:szCs w:val="18"/>
                <w:lang w:val="ro-MD" w:eastAsia="en-US"/>
              </w:rPr>
            </w:pPr>
            <w:r w:rsidRPr="00FF54D1">
              <w:rPr>
                <w:b/>
                <w:sz w:val="18"/>
                <w:szCs w:val="18"/>
                <w:lang w:val="ro-MD" w:eastAsia="en-US"/>
              </w:rPr>
              <w:t>Tratamentul expunerilor clienţilor</w:t>
            </w:r>
          </w:p>
          <w:p w14:paraId="7FA82581" w14:textId="77777777" w:rsidR="0001798B" w:rsidRPr="00FF54D1" w:rsidRDefault="0001798B" w:rsidP="0001798B">
            <w:pPr>
              <w:jc w:val="both"/>
              <w:rPr>
                <w:bCs/>
                <w:sz w:val="18"/>
                <w:szCs w:val="18"/>
                <w:lang w:val="ro-MD" w:eastAsia="en-US"/>
              </w:rPr>
            </w:pPr>
            <w:r w:rsidRPr="00FF54D1">
              <w:rPr>
                <w:b/>
                <w:sz w:val="18"/>
                <w:szCs w:val="18"/>
                <w:lang w:val="ro-MD" w:eastAsia="en-US"/>
              </w:rPr>
              <w:t>118.</w:t>
            </w:r>
            <w:r w:rsidRPr="00FF54D1">
              <w:rPr>
                <w:bCs/>
                <w:sz w:val="18"/>
                <w:szCs w:val="18"/>
                <w:lang w:val="ro-MD" w:eastAsia="en-US"/>
              </w:rPr>
              <w:t xml:space="preserve"> O bancă care este client calculează cerinţele de fonduri proprii pentru tranzacţiile sale legate de o CPC cu membrul său compensator în conformitate cu </w:t>
            </w:r>
            <w:bookmarkStart w:id="9" w:name="_Hlk163077929"/>
            <w:r w:rsidRPr="00FF54D1">
              <w:rPr>
                <w:bCs/>
                <w:sz w:val="18"/>
                <w:szCs w:val="18"/>
                <w:lang w:val="ro-MD" w:eastAsia="en-US"/>
              </w:rPr>
              <w:t>capitolele I - VII din prezentul regulament, cu prevederile Regulamentului nr.112/2018 cu privire la tehnicile de diminuare a riscului de credit utilizate de bănci și Regulamentului nr.103/2020 cu privire la tratamentul riscului de ajustare a evaluării creditului pentru bănci</w:t>
            </w:r>
            <w:bookmarkEnd w:id="9"/>
            <w:r w:rsidRPr="00FF54D1">
              <w:rPr>
                <w:bCs/>
                <w:sz w:val="18"/>
                <w:szCs w:val="18"/>
                <w:lang w:val="ro-MD" w:eastAsia="en-US"/>
              </w:rPr>
              <w:t xml:space="preserve">, după caz. </w:t>
            </w:r>
          </w:p>
          <w:p w14:paraId="70B3CEC1" w14:textId="77777777" w:rsidR="0001798B" w:rsidRPr="00FF54D1" w:rsidRDefault="0001798B" w:rsidP="0001798B">
            <w:pPr>
              <w:jc w:val="both"/>
              <w:rPr>
                <w:bCs/>
                <w:sz w:val="18"/>
                <w:szCs w:val="18"/>
                <w:lang w:val="ro-MD" w:eastAsia="en-US"/>
              </w:rPr>
            </w:pPr>
            <w:r w:rsidRPr="00FF54D1">
              <w:rPr>
                <w:b/>
                <w:sz w:val="18"/>
                <w:szCs w:val="18"/>
                <w:lang w:val="ro-MD" w:eastAsia="en-US"/>
              </w:rPr>
              <w:t>119.</w:t>
            </w:r>
            <w:r w:rsidRPr="00FF54D1">
              <w:rPr>
                <w:bCs/>
                <w:sz w:val="18"/>
                <w:szCs w:val="18"/>
                <w:lang w:val="ro-MD" w:eastAsia="en-US"/>
              </w:rPr>
              <w:t xml:space="preserve"> Fără a aduce atingere abordării prevăzute la punctul 118, în cazul în care o bancă este client, aceasta poate calcula cerinţele de fonduri proprii pentru expunerile sale din tranzacţii în cazul tranzacţiilor cu membrul compensator legate de CPC în conformitate cu secțiunea a 6-a din prezentul capitol, dacă sunt îndeplinite cumulativ următoarele condiţii:</w:t>
            </w:r>
          </w:p>
          <w:p w14:paraId="3D0FBCEC" w14:textId="77777777" w:rsidR="0001798B" w:rsidRPr="00FF54D1" w:rsidRDefault="0001798B" w:rsidP="0001798B">
            <w:pPr>
              <w:jc w:val="both"/>
              <w:rPr>
                <w:bCs/>
                <w:sz w:val="18"/>
                <w:szCs w:val="18"/>
                <w:lang w:val="ro-MD" w:eastAsia="en-US"/>
              </w:rPr>
            </w:pPr>
            <w:r w:rsidRPr="00FF54D1">
              <w:rPr>
                <w:bCs/>
                <w:sz w:val="18"/>
                <w:szCs w:val="18"/>
                <w:lang w:val="ro-MD" w:eastAsia="en-US"/>
              </w:rPr>
              <w:t>1) poziţiile și activele băncii legate de tranzacţiile în cauză sunt distinse și separate, atât la nivelul membrului compensator, cât și al CPC, de poziţiile și activele membrului compensator și ale celorlalţi clienţi ai membrului compensator și, ca urmare a acestei distincţii și separări, poziţiile și activele respective ale băncii sunt indisponibile în cazul în care membrul compensator ori unul sau mai mulţi dintre clienţii săi intră în stare de nerambursare sau în insolvenţă;</w:t>
            </w:r>
          </w:p>
          <w:p w14:paraId="1FCF787C" w14:textId="77777777" w:rsidR="0001798B" w:rsidRPr="00FF54D1" w:rsidRDefault="0001798B" w:rsidP="0001798B">
            <w:pPr>
              <w:jc w:val="both"/>
              <w:rPr>
                <w:bCs/>
                <w:sz w:val="18"/>
                <w:szCs w:val="18"/>
                <w:lang w:val="ro-MD" w:eastAsia="en-US"/>
              </w:rPr>
            </w:pPr>
            <w:r w:rsidRPr="00FF54D1">
              <w:rPr>
                <w:bCs/>
                <w:sz w:val="18"/>
                <w:szCs w:val="18"/>
                <w:lang w:val="ro-MD" w:eastAsia="en-US"/>
              </w:rPr>
              <w:t xml:space="preserve">2) legislaţia, reglementările și normele, precum și acordurile contractuale aplicabile băncii sau CPC ori obligatorii pentru acestea facilitează transferul poziţiilor clientului legate de contractele și de tranzacţiile în cauză și al garanţiilor reale aferente către un alt membru compensator în perioada de risc de marjă aplicabilă, în cazul în care membrul compensator iniţial intră în stare de nerambursare sau în insolvenţă. În această situaţie, poziţiile clientului și garanţiile reale se transferă la valoarea de piaţă, cu excepţia cazului în care clientul solicită închiderea poziţiei la valoarea de piaţă; </w:t>
            </w:r>
          </w:p>
          <w:p w14:paraId="754E0336" w14:textId="77777777" w:rsidR="0001798B" w:rsidRPr="00FF54D1" w:rsidRDefault="0001798B" w:rsidP="0001798B">
            <w:pPr>
              <w:jc w:val="both"/>
              <w:rPr>
                <w:bCs/>
                <w:sz w:val="18"/>
                <w:szCs w:val="18"/>
                <w:lang w:val="ro-MD" w:eastAsia="en-US"/>
              </w:rPr>
            </w:pPr>
            <w:r w:rsidRPr="00FF54D1">
              <w:rPr>
                <w:bCs/>
                <w:sz w:val="18"/>
                <w:szCs w:val="18"/>
                <w:lang w:val="ro-MD" w:eastAsia="en-US"/>
              </w:rPr>
              <w:lastRenderedPageBreak/>
              <w:t xml:space="preserve">3) clientul a efectuat și a menţinut la zi o analiză juridică suficient de aprofundată, care demonstrează că modalităţile prin care se asigură îndeplinirea condiţiei prevăzute la subpunctul 2) sunt legale, valabile, obligatorii și executorii din punct de vedere juridic în temeiul legislaţiei relevante ale jurisdicţiei sau jurisdicţiilor relevante; </w:t>
            </w:r>
          </w:p>
          <w:p w14:paraId="4CDE2A79" w14:textId="77777777" w:rsidR="0001798B" w:rsidRPr="00FF54D1" w:rsidRDefault="0001798B" w:rsidP="0001798B">
            <w:pPr>
              <w:jc w:val="both"/>
              <w:rPr>
                <w:bCs/>
                <w:sz w:val="18"/>
                <w:szCs w:val="18"/>
                <w:lang w:val="ro-MD" w:eastAsia="en-US"/>
              </w:rPr>
            </w:pPr>
            <w:r w:rsidRPr="00FF54D1">
              <w:rPr>
                <w:bCs/>
                <w:sz w:val="18"/>
                <w:szCs w:val="18"/>
                <w:lang w:val="ro-MD" w:eastAsia="en-US"/>
              </w:rPr>
              <w:t xml:space="preserve">4) CPC este o CPCC. </w:t>
            </w:r>
          </w:p>
          <w:p w14:paraId="0210478A" w14:textId="77777777" w:rsidR="0001798B" w:rsidRPr="00FF54D1" w:rsidRDefault="0001798B" w:rsidP="0001798B">
            <w:pPr>
              <w:jc w:val="both"/>
              <w:rPr>
                <w:bCs/>
                <w:sz w:val="18"/>
                <w:szCs w:val="18"/>
                <w:lang w:val="ro-MD" w:eastAsia="en-US"/>
              </w:rPr>
            </w:pPr>
            <w:r w:rsidRPr="00FF54D1">
              <w:rPr>
                <w:bCs/>
                <w:sz w:val="18"/>
                <w:szCs w:val="18"/>
                <w:lang w:val="ro-MD" w:eastAsia="en-US"/>
              </w:rPr>
              <w:t>Atunci când o bancă evaluează dacă respectă condiţia prevăzută la primul paragraf subpunctul 2), aceasta poate lua în considerare orice precedent clar în materie de transferuri ale poziţiilor clienţilor și ale garanţiilor reale corespunzătoare la nivelul unei CPC, precum și orice intenţie din partea sectorului de a continua această practică.</w:t>
            </w:r>
          </w:p>
          <w:p w14:paraId="45953BF8" w14:textId="77777777" w:rsidR="0001798B" w:rsidRPr="00FF54D1" w:rsidRDefault="0001798B" w:rsidP="0001798B">
            <w:pPr>
              <w:jc w:val="both"/>
              <w:rPr>
                <w:bCs/>
                <w:sz w:val="18"/>
                <w:szCs w:val="18"/>
                <w:lang w:val="ro-MD" w:eastAsia="en-US"/>
              </w:rPr>
            </w:pPr>
            <w:r w:rsidRPr="00FF54D1">
              <w:rPr>
                <w:b/>
                <w:sz w:val="18"/>
                <w:szCs w:val="18"/>
                <w:lang w:val="ro-MD" w:eastAsia="en-US"/>
              </w:rPr>
              <w:t>120.</w:t>
            </w:r>
            <w:r w:rsidRPr="00FF54D1">
              <w:rPr>
                <w:bCs/>
                <w:sz w:val="18"/>
                <w:szCs w:val="18"/>
                <w:lang w:val="ro-MD" w:eastAsia="en-US"/>
              </w:rPr>
              <w:t xml:space="preserve"> Prin derogare de la punctul 119 din prezenta secțiune, în cazul în care o bancă care este client nu îndeplinește condiţia prevăzută la punctul 119 subpunctul 1) deoarece nu este protejată de pierderi în situaţia în care membrul compensator și un alt client al membrului compensator intră împreună în stare de nerambursare, sub rezerva îndeplinirii tuturor celelalte condiţii prevăzute la subpunctele 1)-4) de la punctul 119 sunt îndeplinite, banca poate calcula cerinţele de fonduri proprii pentru expunerile sale din tranzacţii în cazul tranzacţiilor cu membrul său compensator legate de o CPC în conformitate cu secțiunea a 6-a din prezentul capitol, sub rezerva înlocuirii ponderii de risc de 2 % prevăzute la punctul 122 subpunctul 1) cu o pondere de risc de 4 %.</w:t>
            </w:r>
          </w:p>
          <w:p w14:paraId="092A73D7" w14:textId="77777777" w:rsidR="0001798B" w:rsidRPr="00FF54D1" w:rsidRDefault="0001798B" w:rsidP="0001798B">
            <w:pPr>
              <w:jc w:val="both"/>
              <w:rPr>
                <w:bCs/>
                <w:sz w:val="18"/>
                <w:szCs w:val="18"/>
                <w:lang w:val="ro-MD" w:eastAsia="en-US"/>
              </w:rPr>
            </w:pPr>
            <w:r w:rsidRPr="00FF54D1">
              <w:rPr>
                <w:b/>
                <w:sz w:val="18"/>
                <w:szCs w:val="18"/>
                <w:lang w:val="ro-MD" w:eastAsia="en-US"/>
              </w:rPr>
              <w:t>121.</w:t>
            </w:r>
            <w:r w:rsidRPr="00FF54D1">
              <w:rPr>
                <w:bCs/>
                <w:sz w:val="18"/>
                <w:szCs w:val="18"/>
                <w:lang w:val="ro-MD" w:eastAsia="en-US"/>
              </w:rPr>
              <w:t xml:space="preserve"> În cazul unei structuri a clientelei pe mai multe niveluri, o bancă care este client de nivel inferior și care accesează serviciile unei CPC prin intermediul unui client de nivel superior poate aplica tratamentul menţionat la punctul 118 sau 119 numai în cazul în care condiţiile prevăzute la alineatele respective sunt îndeplinite la fiecare nivel al structurii în cauză.</w:t>
            </w:r>
          </w:p>
          <w:p w14:paraId="1D2C7DA3" w14:textId="77777777" w:rsidR="0001798B" w:rsidRPr="003B14E9" w:rsidRDefault="0001798B" w:rsidP="0001798B">
            <w:pPr>
              <w:jc w:val="center"/>
              <w:rPr>
                <w:bCs/>
                <w:i/>
                <w:iCs/>
                <w:sz w:val="18"/>
                <w:szCs w:val="18"/>
                <w:lang w:val="ro-MD" w:eastAsia="en-US"/>
              </w:rPr>
            </w:pPr>
          </w:p>
        </w:tc>
        <w:tc>
          <w:tcPr>
            <w:tcW w:w="1160" w:type="dxa"/>
          </w:tcPr>
          <w:p w14:paraId="4EDC8B57" w14:textId="49804863"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7DDA5A20"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3CC06F71"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3D801898" w14:textId="77777777" w:rsidR="0001798B" w:rsidRPr="003B14E9" w:rsidRDefault="0001798B" w:rsidP="0001798B">
            <w:pPr>
              <w:jc w:val="both"/>
              <w:rPr>
                <w:sz w:val="18"/>
                <w:szCs w:val="18"/>
                <w:lang w:val="ro-MD"/>
              </w:rPr>
            </w:pPr>
          </w:p>
        </w:tc>
      </w:tr>
      <w:tr w:rsidR="0001798B" w:rsidRPr="003B14E9" w14:paraId="707986A4" w14:textId="77777777" w:rsidTr="00604EF1">
        <w:trPr>
          <w:trHeight w:val="918"/>
        </w:trPr>
        <w:tc>
          <w:tcPr>
            <w:tcW w:w="4473" w:type="dxa"/>
          </w:tcPr>
          <w:p w14:paraId="59640A69" w14:textId="3553B1A5"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i/>
                <w:iCs/>
                <w:color w:val="000000"/>
                <w:sz w:val="19"/>
                <w:szCs w:val="19"/>
                <w:lang w:val="ro-MD" w:eastAsia="en-US"/>
              </w:rPr>
              <w:lastRenderedPageBreak/>
              <w:t xml:space="preserve">Articolul 306 </w:t>
            </w:r>
            <w:r w:rsidRPr="00DF075A">
              <w:rPr>
                <w:rFonts w:eastAsiaTheme="minorHAnsi"/>
                <w:b/>
                <w:bCs/>
                <w:color w:val="000000"/>
                <w:sz w:val="19"/>
                <w:szCs w:val="19"/>
                <w:lang w:val="ro-MD" w:eastAsia="en-US"/>
              </w:rPr>
              <w:t xml:space="preserve">Cerinţele de fonduri proprii pentru expunerile din tranzacţii </w:t>
            </w:r>
          </w:p>
          <w:p w14:paraId="6DF05175"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(1) O instituţie aplică următorul tratament expunerilor sale din tranzacţii cu CPC: </w:t>
            </w:r>
          </w:p>
          <w:p w14:paraId="3771E440"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(a) aplică o pondere de risc de 2 % valorilor tuturor expunerilor sale din tranzacţii cu CPCC; </w:t>
            </w:r>
          </w:p>
          <w:p w14:paraId="274E30B6"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(b) aplică ponderea de risc utilizată în cadrul abordării standardizate pentru riscul de credit prevăzută la articolul 107 alineatul (2) litera (b) tuturor expunerilor sale din tranzacţii cu CPC necalificate;</w:t>
            </w:r>
            <w:r w:rsidRPr="00DF075A">
              <w:rPr>
                <w:rFonts w:eastAsiaTheme="minorHAnsi"/>
                <w:b/>
                <w:bCs/>
                <w:color w:val="000000"/>
                <w:sz w:val="19"/>
                <w:szCs w:val="19"/>
                <w:lang w:val="ro-MD" w:eastAsia="en-US"/>
              </w:rPr>
              <w:t xml:space="preserve"> </w:t>
            </w:r>
          </w:p>
          <w:p w14:paraId="7DAF7833"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(c) în cazul în care o instituţie acţionează ca intermediar financiar între un client și o CPC, iar condiţiile tranzacţiei legate de CPC prevăd că instituţia nu este obligată să ramburseze clientului eventualele pierderi suferite ca urmare a modificărilor valorii tranzacţiei respective în cazul în care respectiva CPC intră în stare de nerambursare, instituţia respectivă poate stabili ca valoarea expunerii pentru expunerea din tranzacţia cu CPC care corespunde tranzacţiei legate de CPC respective să fie egală cu zero; </w:t>
            </w:r>
          </w:p>
          <w:p w14:paraId="4FA344AC"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(d) în cazul în care o instituţie acţionează ca intermediar financiar între un client și o CPC, iar condiţiile tranzacţiei legate de CPC prevăd că instituţia este obligată să ramburseze clientului eventualele pierderi suferite ca urmare a modificărilor valorii tranzacţiei respective în cazul în care respectiva CPC intră în stare de nerambursare, instituţia respectivă aplică tratamentul de la litera (a) sau (b), după caz, </w:t>
            </w:r>
            <w:r w:rsidRPr="00DF075A">
              <w:rPr>
                <w:rFonts w:eastAsiaTheme="minorHAnsi"/>
                <w:color w:val="000000"/>
                <w:sz w:val="19"/>
                <w:szCs w:val="19"/>
                <w:lang w:val="ro-MD" w:eastAsia="en-US"/>
              </w:rPr>
              <w:lastRenderedPageBreak/>
              <w:t xml:space="preserve">expunerii din tranzacţia cu CPC care corespunde tranzacţiei legate de CPC respective. </w:t>
            </w:r>
          </w:p>
          <w:p w14:paraId="458E55F9"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(2) Prin derogare de la alineatul (1), dacă activele date în garanţie unei CPC sau unui membru compensator sunt indisponibile în cazul în care respectiva CPC, membrul compensator ori unul sau mai mulţi dintre ceilalţi clienţi ai membrului compensator devin insolvenţi, o instituţie poate atribui expunerilor la riscul de credit al contrapărţii aferente activelor respective o valoare a expunerii egală cu zero. </w:t>
            </w:r>
          </w:p>
          <w:p w14:paraId="008502FC" w14:textId="77777777" w:rsidR="0001798B" w:rsidRPr="00DF075A" w:rsidRDefault="0001798B" w:rsidP="0001798B">
            <w:pPr>
              <w:autoSpaceDE w:val="0"/>
              <w:autoSpaceDN w:val="0"/>
              <w:adjustRightInd w:val="0"/>
              <w:spacing w:before="60" w:after="60"/>
              <w:rPr>
                <w:rFonts w:eastAsiaTheme="minorHAnsi"/>
                <w:color w:val="000000"/>
                <w:sz w:val="19"/>
                <w:szCs w:val="19"/>
                <w:lang w:val="ro-MD" w:eastAsia="en-US"/>
              </w:rPr>
            </w:pPr>
            <w:r w:rsidRPr="00DF075A">
              <w:rPr>
                <w:rFonts w:eastAsiaTheme="minorHAnsi"/>
                <w:color w:val="000000"/>
                <w:sz w:val="19"/>
                <w:szCs w:val="19"/>
                <w:lang w:val="ro-MD" w:eastAsia="en-US"/>
              </w:rPr>
              <w:t xml:space="preserve">(3) O instituţie calculează valorile expunerilor pentru expunerile sale din tranzacţii cu o CPC în conformitate cu secţiunile 1-8 din prezentul capitol și cu secţiunea 4 din capitolul 4, după caz. </w:t>
            </w:r>
          </w:p>
          <w:p w14:paraId="25169CFB" w14:textId="09D022A4" w:rsidR="0001798B" w:rsidRPr="003B14E9" w:rsidRDefault="0001798B" w:rsidP="0001798B">
            <w:pPr>
              <w:autoSpaceDE w:val="0"/>
              <w:autoSpaceDN w:val="0"/>
              <w:adjustRightInd w:val="0"/>
              <w:spacing w:before="60" w:after="60"/>
              <w:rPr>
                <w:rFonts w:eastAsiaTheme="minorHAnsi"/>
                <w:i/>
                <w:iCs/>
                <w:color w:val="000000"/>
                <w:sz w:val="19"/>
                <w:szCs w:val="19"/>
                <w:lang w:val="ro-MD" w:eastAsia="en-US"/>
              </w:rPr>
            </w:pPr>
            <w:r w:rsidRPr="003B14E9">
              <w:rPr>
                <w:rFonts w:eastAsiaTheme="minorHAnsi"/>
                <w:color w:val="000000"/>
                <w:sz w:val="19"/>
                <w:szCs w:val="19"/>
                <w:lang w:val="ro-MD" w:eastAsia="en-US"/>
              </w:rPr>
              <w:t>(4) O instituţie calculează cuantumurile ponderate la risc ale expunerilor pentru expunerile sale din tranzacţii cu CPC în sensul articolului 92 alineatul (3) înmulţind suma valorilor expunerilor sale din tranzacţii cu CPC, calculate în conformitate cu alineatele (2) și (3) de la prezentul articol, cu ponderea de risc determinată în conformitate cu alineatul (1) de la prezentul articol.</w:t>
            </w:r>
          </w:p>
        </w:tc>
        <w:tc>
          <w:tcPr>
            <w:tcW w:w="4425" w:type="dxa"/>
            <w:shd w:val="clear" w:color="auto" w:fill="auto"/>
          </w:tcPr>
          <w:p w14:paraId="10CD9DB0" w14:textId="77777777" w:rsidR="0001798B" w:rsidRPr="00FF54D1" w:rsidRDefault="0001798B" w:rsidP="0001798B">
            <w:pPr>
              <w:jc w:val="center"/>
              <w:rPr>
                <w:bCs/>
                <w:i/>
                <w:iCs/>
                <w:sz w:val="18"/>
                <w:szCs w:val="18"/>
                <w:lang w:val="ro-MD" w:eastAsia="en-US"/>
              </w:rPr>
            </w:pPr>
            <w:bookmarkStart w:id="10" w:name="_Hlk162997397"/>
            <w:r w:rsidRPr="00FF54D1">
              <w:rPr>
                <w:bCs/>
                <w:i/>
                <w:iCs/>
                <w:sz w:val="18"/>
                <w:szCs w:val="18"/>
                <w:lang w:val="ro-MD" w:eastAsia="en-US"/>
              </w:rPr>
              <w:lastRenderedPageBreak/>
              <w:t>Secţiunea a 6-a</w:t>
            </w:r>
          </w:p>
          <w:bookmarkEnd w:id="10"/>
          <w:p w14:paraId="3B271914" w14:textId="77777777" w:rsidR="0001798B" w:rsidRPr="00FF54D1" w:rsidRDefault="0001798B" w:rsidP="0001798B">
            <w:pPr>
              <w:jc w:val="center"/>
              <w:rPr>
                <w:b/>
                <w:sz w:val="18"/>
                <w:szCs w:val="18"/>
                <w:lang w:val="ro-MD" w:eastAsia="en-US"/>
              </w:rPr>
            </w:pPr>
            <w:r w:rsidRPr="00FF54D1">
              <w:rPr>
                <w:b/>
                <w:sz w:val="18"/>
                <w:szCs w:val="18"/>
                <w:lang w:val="ro-MD" w:eastAsia="en-US"/>
              </w:rPr>
              <w:t>Cerinţele de fonduri proprii pentru expunerile din tranzacţii</w:t>
            </w:r>
          </w:p>
          <w:p w14:paraId="65F9F5EF" w14:textId="77777777" w:rsidR="0001798B" w:rsidRPr="00FF54D1" w:rsidRDefault="0001798B" w:rsidP="0001798B">
            <w:pPr>
              <w:jc w:val="both"/>
              <w:rPr>
                <w:bCs/>
                <w:sz w:val="18"/>
                <w:szCs w:val="18"/>
                <w:lang w:val="ro-MD" w:eastAsia="en-US"/>
              </w:rPr>
            </w:pPr>
            <w:r w:rsidRPr="00FF54D1">
              <w:rPr>
                <w:b/>
                <w:sz w:val="18"/>
                <w:szCs w:val="18"/>
                <w:lang w:val="ro-MD" w:eastAsia="en-US"/>
              </w:rPr>
              <w:t>122.</w:t>
            </w:r>
            <w:r w:rsidRPr="00FF54D1">
              <w:rPr>
                <w:bCs/>
                <w:sz w:val="18"/>
                <w:szCs w:val="18"/>
                <w:lang w:val="ro-MD" w:eastAsia="en-US"/>
              </w:rPr>
              <w:t xml:space="preserve"> O bancă aplică următorul tratament expunerilor sale din tranzacţii cu CPC:</w:t>
            </w:r>
          </w:p>
          <w:p w14:paraId="415CB5EE" w14:textId="77777777" w:rsidR="0001798B" w:rsidRPr="00FF54D1" w:rsidRDefault="0001798B" w:rsidP="0001798B">
            <w:pPr>
              <w:jc w:val="both"/>
              <w:rPr>
                <w:bCs/>
                <w:sz w:val="18"/>
                <w:szCs w:val="18"/>
                <w:lang w:val="ro-MD" w:eastAsia="en-US"/>
              </w:rPr>
            </w:pPr>
            <w:r w:rsidRPr="00FF54D1">
              <w:rPr>
                <w:bCs/>
                <w:sz w:val="18"/>
                <w:szCs w:val="18"/>
                <w:lang w:val="ro-MD" w:eastAsia="en-US"/>
              </w:rPr>
              <w:t>1) aplică o pondere de risc de 2 % valorilor tuturor expunerilor sale din tranzacţii cu CPCC;</w:t>
            </w:r>
          </w:p>
          <w:p w14:paraId="1CBC38B7" w14:textId="77777777" w:rsidR="0001798B" w:rsidRPr="00FF54D1" w:rsidRDefault="0001798B" w:rsidP="0001798B">
            <w:pPr>
              <w:jc w:val="both"/>
              <w:rPr>
                <w:bCs/>
                <w:sz w:val="18"/>
                <w:szCs w:val="18"/>
                <w:lang w:val="ro-MD" w:eastAsia="en-US"/>
              </w:rPr>
            </w:pPr>
            <w:r w:rsidRPr="00FF54D1">
              <w:rPr>
                <w:bCs/>
                <w:sz w:val="18"/>
                <w:szCs w:val="18"/>
                <w:lang w:val="ro-MD" w:eastAsia="en-US"/>
              </w:rPr>
              <w:t xml:space="preserve">2) aplică ponderea de risc utilizată în cadrul abordării standardizate pentru riscul de credit prevăzută în Regulamentul nr.111/2018 cu privire la tratamentul riscului de credit pentru bănci potrivit abordării standardizate tuturor expunerilor sale din tranzacţii cu CPC necalificate; </w:t>
            </w:r>
          </w:p>
          <w:p w14:paraId="7BD8825E" w14:textId="77777777" w:rsidR="0001798B" w:rsidRPr="00FF54D1" w:rsidRDefault="0001798B" w:rsidP="0001798B">
            <w:pPr>
              <w:jc w:val="both"/>
              <w:rPr>
                <w:bCs/>
                <w:sz w:val="18"/>
                <w:szCs w:val="18"/>
                <w:lang w:val="ro-MD" w:eastAsia="en-US"/>
              </w:rPr>
            </w:pPr>
            <w:r w:rsidRPr="00FF54D1">
              <w:rPr>
                <w:bCs/>
                <w:sz w:val="18"/>
                <w:szCs w:val="18"/>
                <w:lang w:val="ro-MD" w:eastAsia="en-US"/>
              </w:rPr>
              <w:t>3) în cazul în care o bancă acţionează ca intermediar financiar între un client și o CPC, iar condiţiile tranzacţiei legate de CPC prevăd că banca nu este obligată să ramburseze clientului eventualele pierderi suferite ca urmare a modificărilor valorii tranzacţiei respective în cazul în care respectiva CPC intră în stare de nerambursare, banca respectivă poate stabili ca valoarea expunerii pentru expunerea din tranzacţia cu CPC care corespunde tranzacţiei legate de CPC respective să fie egală cu zero;</w:t>
            </w:r>
          </w:p>
          <w:p w14:paraId="3C0E51B3" w14:textId="77777777" w:rsidR="0001798B" w:rsidRPr="00FF54D1" w:rsidRDefault="0001798B" w:rsidP="0001798B">
            <w:pPr>
              <w:jc w:val="both"/>
              <w:rPr>
                <w:bCs/>
                <w:sz w:val="18"/>
                <w:szCs w:val="18"/>
                <w:lang w:val="ro-MD" w:eastAsia="en-US"/>
              </w:rPr>
            </w:pPr>
            <w:r w:rsidRPr="00FF54D1">
              <w:rPr>
                <w:bCs/>
                <w:sz w:val="18"/>
                <w:szCs w:val="18"/>
                <w:lang w:val="ro-MD" w:eastAsia="en-US"/>
              </w:rPr>
              <w:t>4) în cazul în care o bancă acţionează ca intermediar financiar între un client și o CPC, iar condiţiile tranzacţiei legate de CPC prevăd că banca este obligată să ramburseze clientului eventualele pierderi suferite ca urmare a modificărilor valorii tranzacţiei respective în cazul în care respectiva CPC intră în stare de nerambursare, banca respectivă aplică tratamentul de la subpunctul 1) sau 2), după caz, expunerii din tranzacţia cu CPC care corespunde tranzacţiei legate de CPC respective.</w:t>
            </w:r>
          </w:p>
          <w:p w14:paraId="0C611C1E" w14:textId="77777777" w:rsidR="0001798B" w:rsidRPr="00FF54D1" w:rsidRDefault="0001798B" w:rsidP="0001798B">
            <w:pPr>
              <w:jc w:val="both"/>
              <w:rPr>
                <w:bCs/>
                <w:sz w:val="18"/>
                <w:szCs w:val="18"/>
                <w:lang w:val="ro-MD" w:eastAsia="en-US"/>
              </w:rPr>
            </w:pPr>
            <w:r w:rsidRPr="00FF54D1">
              <w:rPr>
                <w:b/>
                <w:sz w:val="18"/>
                <w:szCs w:val="18"/>
                <w:lang w:val="ro-MD" w:eastAsia="en-US"/>
              </w:rPr>
              <w:lastRenderedPageBreak/>
              <w:t>123.</w:t>
            </w:r>
            <w:r w:rsidRPr="00FF54D1">
              <w:rPr>
                <w:bCs/>
                <w:sz w:val="18"/>
                <w:szCs w:val="18"/>
                <w:lang w:val="ro-MD" w:eastAsia="en-US"/>
              </w:rPr>
              <w:t xml:space="preserve"> Prin derogare de la punctul 122, dacă activele date în garanţie unei CPC sau unui membru compensator sunt indisponibile în cazul în care respectiva CPC, membrul compensator ori unul sau mai mulţi dintre ceilalţi clienţi ai membrului compensator devin insolvenţi, o bancă poate atribui expunerilor la riscul de credit al contrapărţii aferente activelor respective o valoare a expunerii egală cu zero.</w:t>
            </w:r>
          </w:p>
          <w:p w14:paraId="04806772" w14:textId="77777777" w:rsidR="0001798B" w:rsidRPr="00FF54D1" w:rsidRDefault="0001798B" w:rsidP="0001798B">
            <w:pPr>
              <w:jc w:val="both"/>
              <w:rPr>
                <w:bCs/>
                <w:sz w:val="18"/>
                <w:szCs w:val="18"/>
                <w:lang w:val="ro-MD" w:eastAsia="en-US"/>
              </w:rPr>
            </w:pPr>
            <w:r w:rsidRPr="00FF54D1">
              <w:rPr>
                <w:b/>
                <w:sz w:val="18"/>
                <w:szCs w:val="18"/>
                <w:lang w:val="ro-MD" w:eastAsia="en-US"/>
              </w:rPr>
              <w:t>124.</w:t>
            </w:r>
            <w:r w:rsidRPr="00FF54D1">
              <w:rPr>
                <w:bCs/>
                <w:sz w:val="18"/>
                <w:szCs w:val="18"/>
                <w:lang w:val="ro-MD" w:eastAsia="en-US"/>
              </w:rPr>
              <w:t xml:space="preserve"> O bancă calculează valorile expunerilor pentru expunerile sale din tranzacţii cu o CPC în conformitate cu capitolele I - VII din prezentul regulament, cu prevederile Regulamentului nr.112/2018 cu privire la tehnicile de diminuare a riscului de credit utilizate de bănci și Regulamentului nr.103/2020 cu privire la tratamentul riscului de ajustare a evaluării creditului pentru bănci, după caz. </w:t>
            </w:r>
          </w:p>
          <w:p w14:paraId="6F90FFE1" w14:textId="4D0D2AE6" w:rsidR="0001798B" w:rsidRPr="003B14E9" w:rsidRDefault="0001798B" w:rsidP="0001798B">
            <w:pPr>
              <w:rPr>
                <w:bCs/>
                <w:i/>
                <w:iCs/>
                <w:sz w:val="18"/>
                <w:szCs w:val="18"/>
                <w:lang w:val="ro-MD" w:eastAsia="en-US"/>
              </w:rPr>
            </w:pPr>
            <w:r w:rsidRPr="00FF54D1">
              <w:rPr>
                <w:b/>
                <w:sz w:val="18"/>
                <w:szCs w:val="18"/>
                <w:lang w:val="ro-MD" w:eastAsia="en-US"/>
              </w:rPr>
              <w:t>125.</w:t>
            </w:r>
            <w:r w:rsidRPr="00FF54D1">
              <w:rPr>
                <w:bCs/>
                <w:sz w:val="18"/>
                <w:szCs w:val="18"/>
                <w:lang w:val="ro-MD" w:eastAsia="en-US"/>
              </w:rPr>
              <w:t xml:space="preserve"> O bancă calculează cuantumurile ponderate la risc ale expunerilor pentru expunerile sale din tranzacţii cu CPC în sensul </w:t>
            </w:r>
            <w:r w:rsidRPr="00FF54D1">
              <w:rPr>
                <w:rFonts w:eastAsiaTheme="minorHAnsi"/>
                <w:color w:val="000000"/>
                <w:sz w:val="18"/>
                <w:szCs w:val="18"/>
                <w:lang w:val="en-US" w:eastAsia="en-US"/>
              </w:rPr>
              <w:t xml:space="preserve">punctului 132 din Regulamentul nr.109/2018 cu privire la fondurile proprii ale băncilor şi cerinţele de capital </w:t>
            </w:r>
            <w:r w:rsidRPr="00FF54D1">
              <w:rPr>
                <w:bCs/>
                <w:sz w:val="18"/>
                <w:szCs w:val="18"/>
                <w:lang w:val="ro-MD" w:eastAsia="en-US"/>
              </w:rPr>
              <w:t>înmulţind suma valorilor expunerilor sale din tranzacţii cu CPC, calculate în conformitate cu punctele 123 și 124, cu ponderea de risc determinată în conformitate cu punctul 122.</w:t>
            </w:r>
          </w:p>
        </w:tc>
        <w:tc>
          <w:tcPr>
            <w:tcW w:w="1160" w:type="dxa"/>
          </w:tcPr>
          <w:p w14:paraId="28B54B82" w14:textId="5965E6CA"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4E1E7BF0"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02858B7F"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58452A6D" w14:textId="77777777" w:rsidR="0001798B" w:rsidRPr="003B14E9" w:rsidRDefault="0001798B" w:rsidP="0001798B">
            <w:pPr>
              <w:jc w:val="both"/>
              <w:rPr>
                <w:sz w:val="18"/>
                <w:szCs w:val="18"/>
                <w:lang w:val="ro-MD"/>
              </w:rPr>
            </w:pPr>
          </w:p>
        </w:tc>
      </w:tr>
      <w:tr w:rsidR="0001798B" w:rsidRPr="003B14E9" w14:paraId="195124B3" w14:textId="77777777" w:rsidTr="00604EF1">
        <w:trPr>
          <w:trHeight w:val="918"/>
        </w:trPr>
        <w:tc>
          <w:tcPr>
            <w:tcW w:w="4473" w:type="dxa"/>
          </w:tcPr>
          <w:p w14:paraId="24620254" w14:textId="77084C00"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i/>
                <w:iCs/>
                <w:color w:val="000000"/>
                <w:sz w:val="19"/>
                <w:szCs w:val="19"/>
                <w:lang w:val="ro-MD" w:eastAsia="en-US"/>
              </w:rPr>
              <w:t xml:space="preserve">Articolul 307 </w:t>
            </w:r>
            <w:r w:rsidRPr="00B02A55">
              <w:rPr>
                <w:rFonts w:eastAsiaTheme="minorHAnsi"/>
                <w:b/>
                <w:bCs/>
                <w:color w:val="000000"/>
                <w:sz w:val="19"/>
                <w:szCs w:val="19"/>
                <w:lang w:val="ro-MD" w:eastAsia="en-US"/>
              </w:rPr>
              <w:t xml:space="preserve">Cerinţele de fonduri proprii pentru contribuţiile la fondul de garantare al unei CPC </w:t>
            </w:r>
          </w:p>
          <w:p w14:paraId="5F002209"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O instituţie care acţionează ca membru compensator aplică următorul tratament expunerilor sale rezultate din contribuţiile sale la fondul de garantare al unei CPC: </w:t>
            </w:r>
          </w:p>
          <w:p w14:paraId="2326A516"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(a) calculează cerinţa de fonduri proprii pentru contribuţiile sale prefinanţate la fondul de garantare al unei CPCC în conformitate cu abordarea prevăzută la articolul 308; </w:t>
            </w:r>
          </w:p>
          <w:p w14:paraId="1C981376"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lastRenderedPageBreak/>
              <w:t xml:space="preserve">(b) calculează cerinţa de fonduri proprii pentru contribuţiile sale prefinanţate și nefinanţate la fondul de garantare al unei CPC necalificate în conformitate cu abordarea prevăzută la articolul 309; </w:t>
            </w:r>
          </w:p>
          <w:p w14:paraId="3B308A2F" w14:textId="112F60E0" w:rsidR="0001798B" w:rsidRPr="003B14E9" w:rsidRDefault="0001798B" w:rsidP="0001798B">
            <w:pPr>
              <w:autoSpaceDE w:val="0"/>
              <w:autoSpaceDN w:val="0"/>
              <w:adjustRightInd w:val="0"/>
              <w:spacing w:before="60" w:after="60"/>
              <w:rPr>
                <w:rFonts w:eastAsiaTheme="minorHAnsi"/>
                <w:i/>
                <w:iCs/>
                <w:color w:val="000000"/>
                <w:sz w:val="19"/>
                <w:szCs w:val="19"/>
                <w:lang w:val="ro-MD" w:eastAsia="en-US"/>
              </w:rPr>
            </w:pPr>
            <w:r w:rsidRPr="003B14E9">
              <w:rPr>
                <w:rFonts w:eastAsiaTheme="minorHAnsi"/>
                <w:color w:val="000000"/>
                <w:sz w:val="19"/>
                <w:szCs w:val="19"/>
                <w:lang w:val="ro-MD"/>
              </w:rPr>
              <w:t>(c) calculează cerinţa de fonduri proprii pentru contribuţiile sale nefinanţate la fondul de garantare al unei CPCC în conformitate cu abordarea prevăzută la articolul 310.</w:t>
            </w:r>
          </w:p>
        </w:tc>
        <w:tc>
          <w:tcPr>
            <w:tcW w:w="4425" w:type="dxa"/>
            <w:shd w:val="clear" w:color="auto" w:fill="auto"/>
          </w:tcPr>
          <w:p w14:paraId="61A41E08" w14:textId="77777777" w:rsidR="0001798B" w:rsidRPr="00FF54D1" w:rsidRDefault="0001798B" w:rsidP="0001798B">
            <w:pPr>
              <w:ind w:firstLine="567"/>
              <w:jc w:val="center"/>
              <w:rPr>
                <w:bCs/>
                <w:i/>
                <w:iCs/>
                <w:sz w:val="18"/>
                <w:szCs w:val="18"/>
                <w:lang w:val="ro-MD" w:eastAsia="en-US"/>
              </w:rPr>
            </w:pPr>
            <w:r w:rsidRPr="00FF54D1">
              <w:rPr>
                <w:bCs/>
                <w:i/>
                <w:iCs/>
                <w:sz w:val="18"/>
                <w:szCs w:val="18"/>
                <w:lang w:val="ro-MD" w:eastAsia="en-US"/>
              </w:rPr>
              <w:lastRenderedPageBreak/>
              <w:t>Secţiunea a 7-a</w:t>
            </w:r>
          </w:p>
          <w:p w14:paraId="7020FCA2" w14:textId="77777777" w:rsidR="0001798B" w:rsidRPr="00FF54D1" w:rsidRDefault="0001798B" w:rsidP="0001798B">
            <w:pPr>
              <w:ind w:firstLine="567"/>
              <w:jc w:val="center"/>
              <w:rPr>
                <w:b/>
                <w:sz w:val="18"/>
                <w:szCs w:val="18"/>
                <w:lang w:val="ro-MD" w:eastAsia="en-US"/>
              </w:rPr>
            </w:pPr>
            <w:r w:rsidRPr="00FF54D1">
              <w:rPr>
                <w:b/>
                <w:sz w:val="18"/>
                <w:szCs w:val="18"/>
                <w:lang w:val="ro-MD" w:eastAsia="en-US"/>
              </w:rPr>
              <w:t>Cerinţele de fonduri proprii pentru contribuţiile la fondul de garantare al unei CPC</w:t>
            </w:r>
          </w:p>
          <w:p w14:paraId="3C88C9FD" w14:textId="77777777" w:rsidR="0001798B" w:rsidRPr="00FF54D1" w:rsidRDefault="0001798B" w:rsidP="0001798B">
            <w:pPr>
              <w:ind w:hanging="5"/>
              <w:jc w:val="both"/>
              <w:rPr>
                <w:bCs/>
                <w:sz w:val="18"/>
                <w:szCs w:val="18"/>
                <w:lang w:val="ro-MD" w:eastAsia="en-US"/>
              </w:rPr>
            </w:pPr>
            <w:r w:rsidRPr="00FF54D1">
              <w:rPr>
                <w:b/>
                <w:sz w:val="18"/>
                <w:szCs w:val="18"/>
                <w:lang w:val="ro-MD" w:eastAsia="en-US"/>
              </w:rPr>
              <w:t>126.</w:t>
            </w:r>
            <w:r w:rsidRPr="00FF54D1">
              <w:rPr>
                <w:bCs/>
                <w:sz w:val="18"/>
                <w:szCs w:val="18"/>
                <w:lang w:val="ro-MD" w:eastAsia="en-US"/>
              </w:rPr>
              <w:t xml:space="preserve"> O bancă care acţionează ca membru compensator aplică următorul tratament expunerilor sale rezultate din contribuţiile sale la fondul de garantare al unei CPC:</w:t>
            </w:r>
          </w:p>
          <w:p w14:paraId="66B9C18E" w14:textId="77777777" w:rsidR="0001798B" w:rsidRPr="00FF54D1" w:rsidRDefault="0001798B" w:rsidP="0001798B">
            <w:pPr>
              <w:ind w:hanging="5"/>
              <w:jc w:val="both"/>
              <w:rPr>
                <w:bCs/>
                <w:sz w:val="18"/>
                <w:szCs w:val="18"/>
                <w:lang w:val="ro-MD" w:eastAsia="en-US"/>
              </w:rPr>
            </w:pPr>
            <w:r w:rsidRPr="00FF54D1">
              <w:rPr>
                <w:bCs/>
                <w:sz w:val="18"/>
                <w:szCs w:val="18"/>
                <w:lang w:val="ro-MD" w:eastAsia="en-US"/>
              </w:rPr>
              <w:t xml:space="preserve">1) calculează cerinţa de fonduri proprii pentru contribuţiile sale prefinanţate la fondul de garantare al unei CPCC în conformitate cu abordarea prevăzută </w:t>
            </w:r>
            <w:bookmarkStart w:id="11" w:name="_Hlk163078018"/>
            <w:r w:rsidRPr="00FF54D1">
              <w:rPr>
                <w:bCs/>
                <w:sz w:val="18"/>
                <w:szCs w:val="18"/>
                <w:lang w:val="ro-MD" w:eastAsia="en-US"/>
              </w:rPr>
              <w:t>la secţiunea a 8-a</w:t>
            </w:r>
            <w:bookmarkEnd w:id="11"/>
            <w:r w:rsidRPr="00FF54D1">
              <w:rPr>
                <w:bCs/>
                <w:sz w:val="18"/>
                <w:szCs w:val="18"/>
                <w:lang w:val="ro-MD" w:eastAsia="en-US"/>
              </w:rPr>
              <w:t>;</w:t>
            </w:r>
          </w:p>
          <w:p w14:paraId="7F434BD5" w14:textId="77777777" w:rsidR="0001798B" w:rsidRPr="00FF54D1" w:rsidRDefault="0001798B" w:rsidP="0001798B">
            <w:pPr>
              <w:ind w:hanging="5"/>
              <w:jc w:val="both"/>
              <w:rPr>
                <w:bCs/>
                <w:sz w:val="18"/>
                <w:szCs w:val="18"/>
                <w:lang w:val="ro-MD" w:eastAsia="en-US"/>
              </w:rPr>
            </w:pPr>
            <w:r w:rsidRPr="00FF54D1">
              <w:rPr>
                <w:bCs/>
                <w:sz w:val="18"/>
                <w:szCs w:val="18"/>
                <w:lang w:val="ro-MD" w:eastAsia="en-US"/>
              </w:rPr>
              <w:t xml:space="preserve">2) calculează cerinţa de fonduri proprii pentru contribuţiile sale prefinanţate și nefinanţate la fondul de garantare al </w:t>
            </w:r>
            <w:r w:rsidRPr="00FF54D1">
              <w:rPr>
                <w:bCs/>
                <w:sz w:val="18"/>
                <w:szCs w:val="18"/>
                <w:lang w:val="ro-MD" w:eastAsia="en-US"/>
              </w:rPr>
              <w:lastRenderedPageBreak/>
              <w:t>unei CPC necalificate în conformitate cu abordarea prevăzută la secţiunea a 9-a;</w:t>
            </w:r>
          </w:p>
          <w:p w14:paraId="53C1361F" w14:textId="77777777" w:rsidR="0001798B" w:rsidRPr="00FF54D1" w:rsidRDefault="0001798B" w:rsidP="0001798B">
            <w:pPr>
              <w:jc w:val="both"/>
              <w:rPr>
                <w:bCs/>
                <w:sz w:val="18"/>
                <w:szCs w:val="18"/>
                <w:lang w:val="ro-MD" w:eastAsia="en-US"/>
              </w:rPr>
            </w:pPr>
            <w:r w:rsidRPr="00FF54D1">
              <w:rPr>
                <w:bCs/>
                <w:sz w:val="18"/>
                <w:szCs w:val="18"/>
                <w:lang w:val="ro-MD" w:eastAsia="en-US"/>
              </w:rPr>
              <w:t>(c) calculează cerinţa de fonduri proprii pentru contribuţiile sale nefinanţate la fondul de garantare al unei CPCC în conformitate cu abordarea prevăzută la secţiunea a 10-a.</w:t>
            </w:r>
          </w:p>
          <w:p w14:paraId="50321214" w14:textId="77777777" w:rsidR="0001798B" w:rsidRPr="003B14E9" w:rsidRDefault="0001798B" w:rsidP="0001798B">
            <w:pPr>
              <w:jc w:val="center"/>
              <w:rPr>
                <w:bCs/>
                <w:i/>
                <w:iCs/>
                <w:sz w:val="18"/>
                <w:szCs w:val="18"/>
                <w:lang w:val="ro-MD" w:eastAsia="en-US"/>
              </w:rPr>
            </w:pPr>
          </w:p>
        </w:tc>
        <w:tc>
          <w:tcPr>
            <w:tcW w:w="1160" w:type="dxa"/>
          </w:tcPr>
          <w:p w14:paraId="2BEC5D69" w14:textId="66D2CDBF"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25C85E50"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12D6DC63"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57D173B7" w14:textId="77777777" w:rsidR="0001798B" w:rsidRPr="003B14E9" w:rsidRDefault="0001798B" w:rsidP="0001798B">
            <w:pPr>
              <w:jc w:val="both"/>
              <w:rPr>
                <w:sz w:val="18"/>
                <w:szCs w:val="18"/>
                <w:lang w:val="ro-MD"/>
              </w:rPr>
            </w:pPr>
          </w:p>
        </w:tc>
      </w:tr>
      <w:tr w:rsidR="0001798B" w:rsidRPr="003B14E9" w14:paraId="4E23F6F7" w14:textId="77777777" w:rsidTr="00604EF1">
        <w:trPr>
          <w:trHeight w:val="918"/>
        </w:trPr>
        <w:tc>
          <w:tcPr>
            <w:tcW w:w="4473" w:type="dxa"/>
          </w:tcPr>
          <w:p w14:paraId="3378E091" w14:textId="402C0B2D"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i/>
                <w:iCs/>
                <w:color w:val="000000"/>
                <w:sz w:val="19"/>
                <w:szCs w:val="19"/>
                <w:lang w:val="ro-MD" w:eastAsia="en-US"/>
              </w:rPr>
              <w:t xml:space="preserve">Articolul 308 </w:t>
            </w:r>
            <w:r w:rsidRPr="00B02A55">
              <w:rPr>
                <w:rFonts w:eastAsiaTheme="minorHAnsi"/>
                <w:b/>
                <w:bCs/>
                <w:color w:val="000000"/>
                <w:sz w:val="19"/>
                <w:szCs w:val="19"/>
                <w:lang w:val="ro-MD" w:eastAsia="en-US"/>
              </w:rPr>
              <w:t xml:space="preserve">Cerinţele de fonduri proprii pentru contribuţiile prefinanţate la fondul de garantare al unei CPCC </w:t>
            </w:r>
          </w:p>
          <w:p w14:paraId="3F4BDEF0"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(1) Valoarea expunerii aferente contribuţiei prefinanţate (DFi) a unei instituţii la fondul de garantare al unei CPCC reprezintă suma plătită sau valoarea de piaţă a activelor furnizate de instituţia respectivă din care se scade orice sumă din contribuţia respectivă pe care CPCC a utilizat-o deja pentru a-și absorbi pierderile cauzate de intrarea în stare de nerambursare a unuia sau a mai multora dintre membrii săi compensatori. </w:t>
            </w:r>
          </w:p>
          <w:p w14:paraId="5CB462DF"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(2) O instituţie calculează cerinţa de fonduri proprii pentru a acoperi expunerea provenind din contribuţia sa prefinanţată după cum urmează:</w:t>
            </w:r>
          </w:p>
          <w:p w14:paraId="0F41DC02"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3B14E9">
              <w:rPr>
                <w:noProof/>
                <w:sz w:val="18"/>
                <w:szCs w:val="18"/>
                <w:lang w:val="en-US" w:eastAsia="en-US"/>
              </w:rPr>
              <w:drawing>
                <wp:inline distT="0" distB="0" distL="0" distR="0" wp14:anchorId="1F87EA3C" wp14:editId="3C31CE66">
                  <wp:extent cx="2401799" cy="295275"/>
                  <wp:effectExtent l="0" t="0" r="0" b="0"/>
                  <wp:docPr id="412340992"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443254" cy="300371"/>
                          </a:xfrm>
                          <a:prstGeom prst="rect">
                            <a:avLst/>
                          </a:prstGeom>
                          <a:noFill/>
                          <a:ln>
                            <a:noFill/>
                          </a:ln>
                        </pic:spPr>
                      </pic:pic>
                    </a:graphicData>
                  </a:graphic>
                </wp:inline>
              </w:drawing>
            </w:r>
          </w:p>
          <w:p w14:paraId="6CA1E7C7"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unde: </w:t>
            </w:r>
          </w:p>
          <w:p w14:paraId="1A45C032"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K</w:t>
            </w:r>
            <w:r w:rsidRPr="00B02A55">
              <w:rPr>
                <w:rFonts w:eastAsiaTheme="minorHAnsi"/>
                <w:color w:val="000000"/>
                <w:sz w:val="12"/>
                <w:szCs w:val="12"/>
                <w:lang w:val="ro-MD" w:eastAsia="en-US"/>
              </w:rPr>
              <w:t xml:space="preserve">i </w:t>
            </w:r>
            <w:r w:rsidRPr="00B02A55">
              <w:rPr>
                <w:rFonts w:eastAsiaTheme="minorHAnsi"/>
                <w:color w:val="000000"/>
                <w:sz w:val="19"/>
                <w:szCs w:val="19"/>
                <w:lang w:val="ro-MD" w:eastAsia="en-US"/>
              </w:rPr>
              <w:t xml:space="preserve">= cerinţa de fonduri proprii; </w:t>
            </w:r>
          </w:p>
          <w:p w14:paraId="00EAFE3B"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i = indicele care desemnează membrul compensator; </w:t>
            </w:r>
          </w:p>
          <w:p w14:paraId="5227DC86"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K </w:t>
            </w:r>
            <w:r w:rsidRPr="00B02A55">
              <w:rPr>
                <w:rFonts w:eastAsiaTheme="minorHAnsi"/>
                <w:color w:val="000000"/>
                <w:sz w:val="12"/>
                <w:szCs w:val="12"/>
                <w:lang w:val="ro-MD" w:eastAsia="en-US"/>
              </w:rPr>
              <w:t xml:space="preserve">CCP </w:t>
            </w:r>
            <w:r w:rsidRPr="00B02A55">
              <w:rPr>
                <w:rFonts w:eastAsiaTheme="minorHAnsi"/>
                <w:color w:val="000000"/>
                <w:sz w:val="19"/>
                <w:szCs w:val="19"/>
                <w:lang w:val="ro-MD" w:eastAsia="en-US"/>
              </w:rPr>
              <w:t xml:space="preserve">= capitalul ipotetic al CPCC comunicat instituţiei de CPCC în conformitate cu articolul 50c din Regulamentul (UE) nr. 648/2012; </w:t>
            </w:r>
          </w:p>
          <w:p w14:paraId="5E43D845"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DF </w:t>
            </w:r>
            <w:r w:rsidRPr="00B02A55">
              <w:rPr>
                <w:rFonts w:eastAsiaTheme="minorHAnsi"/>
                <w:color w:val="000000"/>
                <w:sz w:val="12"/>
                <w:szCs w:val="12"/>
                <w:lang w:val="ro-MD" w:eastAsia="en-US"/>
              </w:rPr>
              <w:t xml:space="preserve">i </w:t>
            </w:r>
            <w:r w:rsidRPr="00B02A55">
              <w:rPr>
                <w:rFonts w:eastAsiaTheme="minorHAnsi"/>
                <w:color w:val="000000"/>
                <w:sz w:val="19"/>
                <w:szCs w:val="19"/>
                <w:lang w:val="ro-MD" w:eastAsia="en-US"/>
              </w:rPr>
              <w:t xml:space="preserve">= contribuţia prefinanţată; </w:t>
            </w:r>
          </w:p>
          <w:p w14:paraId="6BCCC154" w14:textId="77777777" w:rsidR="0001798B" w:rsidRPr="00B02A55"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lastRenderedPageBreak/>
              <w:t xml:space="preserve">DF </w:t>
            </w:r>
            <w:r w:rsidRPr="00B02A55">
              <w:rPr>
                <w:rFonts w:eastAsiaTheme="minorHAnsi"/>
                <w:color w:val="000000"/>
                <w:sz w:val="12"/>
                <w:szCs w:val="12"/>
                <w:lang w:val="ro-MD" w:eastAsia="en-US"/>
              </w:rPr>
              <w:t xml:space="preserve">CCP </w:t>
            </w:r>
            <w:r w:rsidRPr="00B02A55">
              <w:rPr>
                <w:rFonts w:eastAsiaTheme="minorHAnsi"/>
                <w:color w:val="000000"/>
                <w:sz w:val="19"/>
                <w:szCs w:val="19"/>
                <w:lang w:val="ro-MD" w:eastAsia="en-US"/>
              </w:rPr>
              <w:t xml:space="preserve">= resursele financiare prefinanţate ale CPC comunicate instituţiei de CPC în conformitate cu articolul 50c din Regulamentul (UE) nr. 648/2012; și </w:t>
            </w:r>
          </w:p>
          <w:p w14:paraId="2921B3CB"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B02A55">
              <w:rPr>
                <w:rFonts w:eastAsiaTheme="minorHAnsi"/>
                <w:color w:val="000000"/>
                <w:sz w:val="19"/>
                <w:szCs w:val="19"/>
                <w:lang w:val="ro-MD" w:eastAsia="en-US"/>
              </w:rPr>
              <w:t xml:space="preserve">DF </w:t>
            </w:r>
            <w:r w:rsidRPr="00B02A55">
              <w:rPr>
                <w:rFonts w:eastAsiaTheme="minorHAnsi"/>
                <w:color w:val="000000"/>
                <w:sz w:val="12"/>
                <w:szCs w:val="12"/>
                <w:lang w:val="ro-MD" w:eastAsia="en-US"/>
              </w:rPr>
              <w:t xml:space="preserve">CM </w:t>
            </w:r>
            <w:r w:rsidRPr="00B02A55">
              <w:rPr>
                <w:rFonts w:eastAsiaTheme="minorHAnsi"/>
                <w:color w:val="000000"/>
                <w:sz w:val="19"/>
                <w:szCs w:val="19"/>
                <w:lang w:val="ro-MD" w:eastAsia="en-US"/>
              </w:rPr>
              <w:t xml:space="preserve">= suma contribuţiilor prefinanţate ale tuturor membrilor compensatori ai CPCC comunicată instituţiei de CPCC în conformitate cu articolul 50c din Regulamentul (UE) nr. 648/2012. </w:t>
            </w:r>
          </w:p>
          <w:p w14:paraId="75451323" w14:textId="0CFB4B64" w:rsidR="0001798B" w:rsidRPr="003B14E9" w:rsidRDefault="0001798B" w:rsidP="0001798B">
            <w:pPr>
              <w:autoSpaceDE w:val="0"/>
              <w:autoSpaceDN w:val="0"/>
              <w:adjustRightInd w:val="0"/>
              <w:spacing w:before="60" w:after="60"/>
              <w:rPr>
                <w:rFonts w:eastAsiaTheme="minorHAnsi"/>
                <w:i/>
                <w:iCs/>
                <w:color w:val="000000"/>
                <w:sz w:val="19"/>
                <w:szCs w:val="19"/>
                <w:lang w:val="ro-MD" w:eastAsia="en-US"/>
              </w:rPr>
            </w:pPr>
            <w:r w:rsidRPr="003B14E9">
              <w:rPr>
                <w:rFonts w:eastAsiaTheme="minorHAnsi"/>
                <w:color w:val="000000"/>
                <w:sz w:val="19"/>
                <w:szCs w:val="19"/>
                <w:lang w:val="ro-MD"/>
              </w:rPr>
              <w:t>(3) O instituţie calculează valorile ponderate la risc ale expunerilor pentru expunerile rezultate din contribuţia prefinanţată a instituţiei respective la fondul de garantare al unei CPCC în sensul articolului 92 alineatul (3) prin înmulţirea cu 12,5 a cerinţei de fonduri proprii calculate în conformitate cu alineatul (2) de la prezentul articol.</w:t>
            </w:r>
          </w:p>
        </w:tc>
        <w:tc>
          <w:tcPr>
            <w:tcW w:w="4425" w:type="dxa"/>
            <w:shd w:val="clear" w:color="auto" w:fill="auto"/>
          </w:tcPr>
          <w:p w14:paraId="5DC7E749" w14:textId="77777777" w:rsidR="0001798B" w:rsidRPr="003B14E9" w:rsidRDefault="0001798B" w:rsidP="0001798B">
            <w:pPr>
              <w:jc w:val="center"/>
              <w:rPr>
                <w:bCs/>
                <w:i/>
                <w:iCs/>
                <w:sz w:val="18"/>
                <w:szCs w:val="18"/>
                <w:lang w:val="ro-MD"/>
              </w:rPr>
            </w:pPr>
            <w:bookmarkStart w:id="12" w:name="_Hlk163077956"/>
            <w:r w:rsidRPr="003B14E9">
              <w:rPr>
                <w:bCs/>
                <w:i/>
                <w:iCs/>
                <w:sz w:val="18"/>
                <w:szCs w:val="18"/>
                <w:lang w:val="ro-MD"/>
              </w:rPr>
              <w:lastRenderedPageBreak/>
              <w:t>Secţiunea a 8-a</w:t>
            </w:r>
          </w:p>
          <w:bookmarkEnd w:id="12"/>
          <w:p w14:paraId="5900B941" w14:textId="77777777" w:rsidR="0001798B" w:rsidRPr="003B14E9" w:rsidRDefault="0001798B" w:rsidP="0001798B">
            <w:pPr>
              <w:jc w:val="center"/>
              <w:rPr>
                <w:b/>
                <w:sz w:val="18"/>
                <w:szCs w:val="18"/>
                <w:lang w:val="ro-MD"/>
              </w:rPr>
            </w:pPr>
            <w:r w:rsidRPr="003B14E9">
              <w:rPr>
                <w:b/>
                <w:sz w:val="18"/>
                <w:szCs w:val="18"/>
                <w:lang w:val="ro-MD"/>
              </w:rPr>
              <w:t>Cerinţele de fonduri proprii pentru contribuţiile prefinanţate la fondul de garantare al unei CPCC</w:t>
            </w:r>
          </w:p>
          <w:p w14:paraId="0BCFD55F" w14:textId="77777777" w:rsidR="0001798B" w:rsidRPr="003B14E9" w:rsidRDefault="0001798B" w:rsidP="0001798B">
            <w:pPr>
              <w:jc w:val="both"/>
              <w:rPr>
                <w:b/>
                <w:sz w:val="18"/>
                <w:szCs w:val="18"/>
                <w:lang w:val="ro-MD"/>
              </w:rPr>
            </w:pPr>
            <w:r w:rsidRPr="003B14E9">
              <w:rPr>
                <w:b/>
                <w:sz w:val="18"/>
                <w:szCs w:val="18"/>
                <w:lang w:val="ro-MD"/>
              </w:rPr>
              <w:t xml:space="preserve">127. </w:t>
            </w:r>
            <w:r w:rsidRPr="003B14E9">
              <w:rPr>
                <w:bCs/>
                <w:sz w:val="18"/>
                <w:szCs w:val="18"/>
                <w:lang w:val="ro-MD"/>
              </w:rPr>
              <w:t>Valoarea expunerii aferente contribuţiei prefinanţate (DFi) a unei bănci la fondul de garantare al unei CPCC reprezintă suma plătită sau valoarea de piaţă a activelor furnizate de banca respectivă din care se scade orice sumă din contribuţia respectivă pe care CPCC a utilizat-o deja pentru a-și absorbi pierderile cauzate de intrarea în stare de nerambursare a unuia sau a mai multora dintre membrii săi compensatori.</w:t>
            </w:r>
          </w:p>
          <w:p w14:paraId="3F39606C"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b/>
                <w:bCs/>
                <w:color w:val="000000"/>
                <w:sz w:val="18"/>
                <w:szCs w:val="18"/>
              </w:rPr>
              <w:t>128.</w:t>
            </w:r>
            <w:r w:rsidRPr="003B14E9">
              <w:rPr>
                <w:rFonts w:ascii="Times New Roman" w:hAnsi="Times New Roman"/>
                <w:color w:val="000000"/>
                <w:sz w:val="18"/>
                <w:szCs w:val="18"/>
              </w:rPr>
              <w:t xml:space="preserve"> O bancă calculează cerinţa de fonduri proprii pentru a acoperi expunerea provenind din contribuţia sa prefinanţată după cum urmează: </w:t>
            </w:r>
          </w:p>
          <w:p w14:paraId="1734F0F2" w14:textId="77777777" w:rsidR="0001798B" w:rsidRPr="003B14E9" w:rsidRDefault="0001798B" w:rsidP="0001798B">
            <w:pPr>
              <w:jc w:val="center"/>
              <w:rPr>
                <w:sz w:val="18"/>
                <w:szCs w:val="18"/>
              </w:rPr>
            </w:pPr>
            <w:r w:rsidRPr="003B14E9">
              <w:rPr>
                <w:noProof/>
                <w:sz w:val="18"/>
                <w:szCs w:val="18"/>
                <w:lang w:val="en-US" w:eastAsia="en-US"/>
              </w:rPr>
              <w:drawing>
                <wp:inline distT="0" distB="0" distL="0" distR="0" wp14:anchorId="2F8F48DF" wp14:editId="26EB6E5A">
                  <wp:extent cx="2401799" cy="295275"/>
                  <wp:effectExtent l="0" t="0" r="0" b="0"/>
                  <wp:docPr id="1573725643"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443254" cy="300371"/>
                          </a:xfrm>
                          <a:prstGeom prst="rect">
                            <a:avLst/>
                          </a:prstGeom>
                          <a:noFill/>
                          <a:ln>
                            <a:noFill/>
                          </a:ln>
                        </pic:spPr>
                      </pic:pic>
                    </a:graphicData>
                  </a:graphic>
                </wp:inline>
              </w:drawing>
            </w:r>
          </w:p>
          <w:p w14:paraId="650C21FE"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color w:val="000000"/>
                <w:sz w:val="18"/>
                <w:szCs w:val="18"/>
              </w:rPr>
              <w:t xml:space="preserve">unde: </w:t>
            </w:r>
          </w:p>
          <w:p w14:paraId="1D810250"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color w:val="000000"/>
                <w:sz w:val="18"/>
                <w:szCs w:val="18"/>
              </w:rPr>
              <w:t>K</w:t>
            </w:r>
            <w:r w:rsidRPr="003B14E9">
              <w:rPr>
                <w:rFonts w:ascii="Times New Roman" w:hAnsi="Times New Roman"/>
                <w:color w:val="000000"/>
                <w:sz w:val="18"/>
                <w:szCs w:val="18"/>
                <w:vertAlign w:val="subscript"/>
              </w:rPr>
              <w:t xml:space="preserve">i </w:t>
            </w:r>
            <w:r w:rsidRPr="003B14E9">
              <w:rPr>
                <w:rFonts w:ascii="Times New Roman" w:hAnsi="Times New Roman"/>
                <w:color w:val="000000"/>
                <w:sz w:val="18"/>
                <w:szCs w:val="18"/>
              </w:rPr>
              <w:t xml:space="preserve">= cerinţa de fonduri proprii; </w:t>
            </w:r>
          </w:p>
          <w:p w14:paraId="79428642"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color w:val="000000"/>
                <w:sz w:val="18"/>
                <w:szCs w:val="18"/>
              </w:rPr>
              <w:t xml:space="preserve">i = indicele care desemnează membrul compensator; </w:t>
            </w:r>
          </w:p>
          <w:p w14:paraId="082591F5"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color w:val="000000"/>
                <w:sz w:val="18"/>
                <w:szCs w:val="18"/>
              </w:rPr>
              <w:t>K</w:t>
            </w:r>
            <w:r w:rsidRPr="003B14E9">
              <w:rPr>
                <w:rFonts w:ascii="Times New Roman" w:hAnsi="Times New Roman"/>
                <w:color w:val="000000"/>
                <w:sz w:val="18"/>
                <w:szCs w:val="18"/>
                <w:vertAlign w:val="subscript"/>
              </w:rPr>
              <w:t xml:space="preserve">CCP </w:t>
            </w:r>
            <w:r w:rsidRPr="003B14E9">
              <w:rPr>
                <w:rFonts w:ascii="Times New Roman" w:hAnsi="Times New Roman"/>
                <w:color w:val="000000"/>
                <w:sz w:val="18"/>
                <w:szCs w:val="18"/>
              </w:rPr>
              <w:t>= capitalul ipotetic al CPCC comunicat băncii de CPCC;</w:t>
            </w:r>
          </w:p>
          <w:p w14:paraId="245D20C6"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color w:val="000000"/>
                <w:sz w:val="18"/>
                <w:szCs w:val="18"/>
              </w:rPr>
              <w:t>DF</w:t>
            </w:r>
            <w:r w:rsidRPr="003B14E9">
              <w:rPr>
                <w:rFonts w:ascii="Times New Roman" w:hAnsi="Times New Roman"/>
                <w:color w:val="000000"/>
                <w:sz w:val="18"/>
                <w:szCs w:val="18"/>
                <w:vertAlign w:val="subscript"/>
              </w:rPr>
              <w:t>i</w:t>
            </w:r>
            <w:r w:rsidRPr="003B14E9">
              <w:rPr>
                <w:rFonts w:ascii="Times New Roman" w:hAnsi="Times New Roman"/>
                <w:color w:val="000000"/>
                <w:sz w:val="18"/>
                <w:szCs w:val="18"/>
              </w:rPr>
              <w:t xml:space="preserve"> = contribuţia prefinanţată; </w:t>
            </w:r>
          </w:p>
          <w:p w14:paraId="23BF0B52"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color w:val="000000"/>
                <w:sz w:val="18"/>
                <w:szCs w:val="18"/>
              </w:rPr>
              <w:t>DF</w:t>
            </w:r>
            <w:r w:rsidRPr="003B14E9">
              <w:rPr>
                <w:rFonts w:ascii="Times New Roman" w:hAnsi="Times New Roman"/>
                <w:color w:val="000000"/>
                <w:sz w:val="18"/>
                <w:szCs w:val="18"/>
                <w:vertAlign w:val="subscript"/>
              </w:rPr>
              <w:t>CCP</w:t>
            </w:r>
            <w:r w:rsidRPr="003B14E9">
              <w:rPr>
                <w:rFonts w:ascii="Times New Roman" w:hAnsi="Times New Roman"/>
                <w:color w:val="000000"/>
                <w:sz w:val="18"/>
                <w:szCs w:val="18"/>
              </w:rPr>
              <w:t xml:space="preserve"> = resursele financiare prefinanţate ale CPC comunicate băncii de CPC; și </w:t>
            </w:r>
          </w:p>
          <w:p w14:paraId="732215E3"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color w:val="000000"/>
                <w:sz w:val="18"/>
                <w:szCs w:val="18"/>
              </w:rPr>
              <w:lastRenderedPageBreak/>
              <w:t>DF</w:t>
            </w:r>
            <w:r w:rsidRPr="003B14E9">
              <w:rPr>
                <w:rFonts w:ascii="Times New Roman" w:hAnsi="Times New Roman"/>
                <w:color w:val="000000"/>
                <w:sz w:val="18"/>
                <w:szCs w:val="18"/>
                <w:vertAlign w:val="subscript"/>
              </w:rPr>
              <w:t>CM</w:t>
            </w:r>
            <w:r w:rsidRPr="003B14E9">
              <w:rPr>
                <w:rFonts w:ascii="Times New Roman" w:hAnsi="Times New Roman"/>
                <w:color w:val="000000"/>
                <w:sz w:val="18"/>
                <w:szCs w:val="18"/>
              </w:rPr>
              <w:t xml:space="preserve"> = suma contribuţiilor prefinanţate ale tuturor membrilor compensatori ai CPCC comunicată băncii de CPCC.</w:t>
            </w:r>
          </w:p>
          <w:p w14:paraId="7DAEA224" w14:textId="77777777" w:rsidR="0001798B" w:rsidRPr="003B14E9" w:rsidRDefault="0001798B" w:rsidP="0001798B">
            <w:pPr>
              <w:pStyle w:val="CM4"/>
              <w:spacing w:before="60" w:after="60"/>
              <w:jc w:val="both"/>
              <w:rPr>
                <w:rFonts w:ascii="Times New Roman" w:hAnsi="Times New Roman"/>
                <w:color w:val="000000"/>
                <w:sz w:val="18"/>
                <w:szCs w:val="18"/>
              </w:rPr>
            </w:pPr>
            <w:r w:rsidRPr="003B14E9">
              <w:rPr>
                <w:rFonts w:ascii="Times New Roman" w:hAnsi="Times New Roman"/>
                <w:b/>
                <w:bCs/>
                <w:color w:val="000000"/>
                <w:sz w:val="18"/>
                <w:szCs w:val="18"/>
              </w:rPr>
              <w:t>129.</w:t>
            </w:r>
            <w:r w:rsidRPr="003B14E9">
              <w:rPr>
                <w:rFonts w:ascii="Times New Roman" w:hAnsi="Times New Roman"/>
                <w:color w:val="000000"/>
                <w:sz w:val="18"/>
                <w:szCs w:val="18"/>
              </w:rPr>
              <w:t xml:space="preserve"> O bancă calculează valorile ponderate la risc ale expunerilor pentru expunerile rezultate din contribuţia prefinanţată a băncii respective la fondul de garantare al unei CPCC în sensul punctului 132 din Regulamentul nr.109/2018 cu privire la fondurile proprii ale băncilor şi cerinţele de capital prin înmulțirea cu 10 a cerinţei de fonduri proprii calculate în conformitate cu punctul 128.</w:t>
            </w:r>
          </w:p>
          <w:p w14:paraId="75FC2324" w14:textId="77777777" w:rsidR="0001798B" w:rsidRPr="003B14E9" w:rsidRDefault="0001798B" w:rsidP="0001798B">
            <w:pPr>
              <w:jc w:val="center"/>
              <w:rPr>
                <w:bCs/>
                <w:i/>
                <w:iCs/>
                <w:sz w:val="18"/>
                <w:szCs w:val="18"/>
                <w:lang w:val="ro-MD" w:eastAsia="en-US"/>
              </w:rPr>
            </w:pPr>
          </w:p>
        </w:tc>
        <w:tc>
          <w:tcPr>
            <w:tcW w:w="1160" w:type="dxa"/>
          </w:tcPr>
          <w:p w14:paraId="64DD1EFA" w14:textId="74B5A1AC"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11FA4340"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48F2AD57"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20F0BA33" w14:textId="77777777" w:rsidR="0001798B" w:rsidRPr="003B14E9" w:rsidRDefault="0001798B" w:rsidP="0001798B">
            <w:pPr>
              <w:jc w:val="both"/>
              <w:rPr>
                <w:sz w:val="18"/>
                <w:szCs w:val="18"/>
                <w:lang w:val="ro-MD"/>
              </w:rPr>
            </w:pPr>
          </w:p>
        </w:tc>
      </w:tr>
      <w:tr w:rsidR="0001798B" w:rsidRPr="003B14E9" w14:paraId="078FCE32" w14:textId="77777777" w:rsidTr="00604EF1">
        <w:trPr>
          <w:trHeight w:val="918"/>
        </w:trPr>
        <w:tc>
          <w:tcPr>
            <w:tcW w:w="4473" w:type="dxa"/>
          </w:tcPr>
          <w:p w14:paraId="1F0284EC" w14:textId="14589A68"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i/>
                <w:iCs/>
                <w:color w:val="000000"/>
                <w:sz w:val="19"/>
                <w:szCs w:val="19"/>
                <w:lang w:val="ro-MD" w:eastAsia="en-US"/>
              </w:rPr>
              <w:t xml:space="preserve">Articolul 309 </w:t>
            </w:r>
            <w:r w:rsidRPr="008B4EBA">
              <w:rPr>
                <w:rFonts w:eastAsiaTheme="minorHAnsi"/>
                <w:b/>
                <w:bCs/>
                <w:color w:val="000000"/>
                <w:sz w:val="19"/>
                <w:szCs w:val="19"/>
                <w:lang w:val="ro-MD" w:eastAsia="en-US"/>
              </w:rPr>
              <w:t xml:space="preserve">Cerinţele de fonduri proprii pentru contribuţiile prefinanţate la fondul de garantare al unei CPC necalificate și pentru contribuţiile nefinanţate la fondul de garantare al unei CPC necalificate </w:t>
            </w:r>
          </w:p>
          <w:p w14:paraId="3EB22235" w14:textId="77777777"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(1) O instituţie aplică următoarea formulă pentru a calcula cerinţa de fonduri proprii pentru expunerile rezultate din contribuţiile sale prefinanţate la fondul de garantare al unei CPC necalificate și din contribuţiile nefinanţate la respectiva CPC: </w:t>
            </w:r>
          </w:p>
          <w:p w14:paraId="52D7283D" w14:textId="77777777" w:rsidR="0001798B" w:rsidRPr="008B4EBA" w:rsidRDefault="0001798B" w:rsidP="0001798B">
            <w:pPr>
              <w:autoSpaceDE w:val="0"/>
              <w:autoSpaceDN w:val="0"/>
              <w:adjustRightInd w:val="0"/>
              <w:spacing w:before="60" w:after="60"/>
              <w:jc w:val="center"/>
              <w:rPr>
                <w:rFonts w:eastAsiaTheme="minorHAnsi"/>
                <w:color w:val="000000"/>
                <w:sz w:val="19"/>
                <w:szCs w:val="19"/>
                <w:lang w:val="ro-MD" w:eastAsia="en-US"/>
              </w:rPr>
            </w:pPr>
            <w:r w:rsidRPr="008B4EBA">
              <w:rPr>
                <w:rFonts w:eastAsiaTheme="minorHAnsi"/>
                <w:color w:val="000000"/>
                <w:sz w:val="19"/>
                <w:szCs w:val="19"/>
                <w:lang w:val="ro-MD" w:eastAsia="en-US"/>
              </w:rPr>
              <w:t>K = DF + UC</w:t>
            </w:r>
          </w:p>
          <w:p w14:paraId="232F95F6" w14:textId="77777777"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unde: </w:t>
            </w:r>
          </w:p>
          <w:p w14:paraId="7398C41F" w14:textId="77777777"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K = cerinţa de fonduri proprii; </w:t>
            </w:r>
          </w:p>
          <w:p w14:paraId="46A8DD96" w14:textId="77777777"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DF = contribuţiile prefinanţate la fondul de garantare al unei CPC necalificate; și </w:t>
            </w:r>
          </w:p>
          <w:p w14:paraId="574994F0"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lastRenderedPageBreak/>
              <w:t xml:space="preserve">UC = contribuţiile nefinanţate la fondul de garantare al unei CPC necalificate. </w:t>
            </w:r>
          </w:p>
          <w:p w14:paraId="6610E3C0" w14:textId="3CE3A609" w:rsidR="0001798B" w:rsidRPr="003B14E9" w:rsidRDefault="0001798B" w:rsidP="0001798B">
            <w:pPr>
              <w:autoSpaceDE w:val="0"/>
              <w:autoSpaceDN w:val="0"/>
              <w:adjustRightInd w:val="0"/>
              <w:spacing w:before="60" w:after="60"/>
              <w:rPr>
                <w:rFonts w:eastAsiaTheme="minorHAnsi"/>
                <w:i/>
                <w:iCs/>
                <w:color w:val="000000"/>
                <w:sz w:val="19"/>
                <w:szCs w:val="19"/>
                <w:lang w:val="en-US" w:eastAsia="en-US"/>
              </w:rPr>
            </w:pPr>
            <w:r w:rsidRPr="003B14E9">
              <w:rPr>
                <w:rFonts w:eastAsiaTheme="minorHAnsi"/>
                <w:color w:val="000000"/>
                <w:sz w:val="19"/>
                <w:szCs w:val="19"/>
                <w:lang w:val="ro-MD"/>
              </w:rPr>
              <w:t>(2) O instituţie calculează valorile ponderate la risc ale expunerilor pentru expunerile rezultate din contribuţia instituţiei respective la fondul de garantare al unei CPC necalificate în sensul articolului 92 alineatul (3) prin înmulţirea cu 12,5 a cerinţei de fonduri proprii calculate în conformitate cu alineatul (1) de la prezentul articol.</w:t>
            </w:r>
          </w:p>
        </w:tc>
        <w:tc>
          <w:tcPr>
            <w:tcW w:w="4425" w:type="dxa"/>
            <w:shd w:val="clear" w:color="auto" w:fill="auto"/>
          </w:tcPr>
          <w:p w14:paraId="046581DD" w14:textId="77777777" w:rsidR="0001798B" w:rsidRPr="00FF54D1" w:rsidRDefault="0001798B" w:rsidP="0001798B">
            <w:pPr>
              <w:ind w:firstLine="567"/>
              <w:jc w:val="center"/>
              <w:rPr>
                <w:bCs/>
                <w:i/>
                <w:iCs/>
                <w:sz w:val="18"/>
                <w:szCs w:val="18"/>
                <w:lang w:val="ro-MD" w:eastAsia="en-US"/>
              </w:rPr>
            </w:pPr>
            <w:r w:rsidRPr="00FF54D1">
              <w:rPr>
                <w:bCs/>
                <w:i/>
                <w:iCs/>
                <w:sz w:val="18"/>
                <w:szCs w:val="18"/>
                <w:lang w:val="ro-MD" w:eastAsia="en-US"/>
              </w:rPr>
              <w:lastRenderedPageBreak/>
              <w:t>Secţiunea a 9-a</w:t>
            </w:r>
          </w:p>
          <w:p w14:paraId="45339F8D" w14:textId="77777777" w:rsidR="0001798B" w:rsidRPr="00FF54D1" w:rsidRDefault="0001798B" w:rsidP="0001798B">
            <w:pPr>
              <w:ind w:firstLine="567"/>
              <w:jc w:val="center"/>
              <w:rPr>
                <w:rFonts w:eastAsiaTheme="minorHAnsi"/>
                <w:b/>
                <w:bCs/>
                <w:color w:val="000000"/>
                <w:sz w:val="18"/>
                <w:szCs w:val="18"/>
                <w:lang w:val="en-US" w:eastAsia="en-US"/>
              </w:rPr>
            </w:pPr>
            <w:r w:rsidRPr="00FF54D1">
              <w:rPr>
                <w:rFonts w:eastAsiaTheme="minorHAnsi"/>
                <w:b/>
                <w:bCs/>
                <w:color w:val="000000"/>
                <w:sz w:val="18"/>
                <w:szCs w:val="18"/>
                <w:lang w:val="en-US" w:eastAsia="en-US"/>
              </w:rPr>
              <w:t>Cerinţele de fonduri proprii pentru contribuţiile prefinanţate la fondul de garantare al unei CPC necalificate și pentru contribuţiile nefinanţate la fondul de garantare al unei CPC necalificate</w:t>
            </w:r>
          </w:p>
          <w:p w14:paraId="687CBAC3" w14:textId="77777777" w:rsidR="0001798B" w:rsidRPr="00FF54D1" w:rsidRDefault="0001798B" w:rsidP="0001798B">
            <w:pPr>
              <w:autoSpaceDE w:val="0"/>
              <w:autoSpaceDN w:val="0"/>
              <w:adjustRightInd w:val="0"/>
              <w:spacing w:before="200" w:after="200"/>
              <w:ind w:hanging="5"/>
              <w:jc w:val="both"/>
              <w:rPr>
                <w:rFonts w:eastAsiaTheme="minorHAnsi"/>
                <w:color w:val="000000"/>
                <w:sz w:val="18"/>
                <w:szCs w:val="18"/>
                <w:lang w:val="en-US" w:eastAsia="en-US"/>
              </w:rPr>
            </w:pPr>
            <w:r w:rsidRPr="00FF54D1">
              <w:rPr>
                <w:rFonts w:eastAsiaTheme="minorHAnsi"/>
                <w:b/>
                <w:bCs/>
                <w:color w:val="000000"/>
                <w:sz w:val="18"/>
                <w:szCs w:val="18"/>
                <w:lang w:val="en-US" w:eastAsia="en-US"/>
              </w:rPr>
              <w:t>130.</w:t>
            </w:r>
            <w:r w:rsidRPr="00FF54D1">
              <w:rPr>
                <w:rFonts w:eastAsiaTheme="minorHAnsi"/>
                <w:color w:val="000000"/>
                <w:sz w:val="18"/>
                <w:szCs w:val="18"/>
                <w:lang w:val="en-US" w:eastAsia="en-US"/>
              </w:rPr>
              <w:t xml:space="preserve"> O bancă aplică următoarea formulă pentru a calcula cerința de fonduri proprii pentru expunerile rezultate din contribuțiile sale prefinanțate la fondul de garantare al unei CPC necalificate și din contribuțiile nefinanțate la respectiva CPC:</w:t>
            </w:r>
          </w:p>
          <w:p w14:paraId="1415C32D" w14:textId="77777777" w:rsidR="0001798B" w:rsidRPr="00FF54D1" w:rsidRDefault="0001798B" w:rsidP="0001798B">
            <w:pPr>
              <w:autoSpaceDE w:val="0"/>
              <w:autoSpaceDN w:val="0"/>
              <w:adjustRightInd w:val="0"/>
              <w:spacing w:before="200" w:after="200"/>
              <w:ind w:hanging="5"/>
              <w:jc w:val="center"/>
              <w:rPr>
                <w:rFonts w:eastAsiaTheme="minorHAnsi"/>
                <w:color w:val="000000"/>
                <w:sz w:val="18"/>
                <w:szCs w:val="18"/>
                <w:lang w:val="en-US" w:eastAsia="en-US"/>
              </w:rPr>
            </w:pPr>
            <w:r w:rsidRPr="00FF54D1">
              <w:rPr>
                <w:rFonts w:eastAsiaTheme="minorHAnsi"/>
                <w:color w:val="000000"/>
                <w:sz w:val="18"/>
                <w:szCs w:val="18"/>
                <w:lang w:val="en-US" w:eastAsia="en-US"/>
              </w:rPr>
              <w:t>K = DF + UC</w:t>
            </w:r>
          </w:p>
          <w:p w14:paraId="21ED6440" w14:textId="77777777" w:rsidR="0001798B" w:rsidRPr="00FF54D1" w:rsidRDefault="0001798B" w:rsidP="0001798B">
            <w:pPr>
              <w:autoSpaceDE w:val="0"/>
              <w:autoSpaceDN w:val="0"/>
              <w:adjustRightInd w:val="0"/>
              <w:spacing w:before="200" w:after="200"/>
              <w:ind w:hanging="5"/>
              <w:jc w:val="both"/>
              <w:rPr>
                <w:rFonts w:eastAsiaTheme="minorHAnsi"/>
                <w:color w:val="000000"/>
                <w:sz w:val="18"/>
                <w:szCs w:val="18"/>
                <w:lang w:val="en-US" w:eastAsia="en-US"/>
              </w:rPr>
            </w:pPr>
            <w:r w:rsidRPr="00FF54D1">
              <w:rPr>
                <w:rFonts w:eastAsiaTheme="minorHAnsi"/>
                <w:color w:val="000000"/>
                <w:sz w:val="18"/>
                <w:szCs w:val="18"/>
                <w:lang w:val="en-US" w:eastAsia="en-US"/>
              </w:rPr>
              <w:t>unde:</w:t>
            </w:r>
          </w:p>
          <w:p w14:paraId="2B2BA8FE" w14:textId="77777777" w:rsidR="0001798B" w:rsidRPr="00FF54D1" w:rsidRDefault="0001798B" w:rsidP="0001798B">
            <w:pPr>
              <w:autoSpaceDE w:val="0"/>
              <w:autoSpaceDN w:val="0"/>
              <w:adjustRightInd w:val="0"/>
              <w:spacing w:before="200" w:after="200"/>
              <w:ind w:hanging="5"/>
              <w:jc w:val="both"/>
              <w:rPr>
                <w:rFonts w:eastAsiaTheme="minorHAnsi"/>
                <w:color w:val="000000"/>
                <w:sz w:val="18"/>
                <w:szCs w:val="18"/>
                <w:lang w:val="en-US" w:eastAsia="en-US"/>
              </w:rPr>
            </w:pPr>
            <w:r w:rsidRPr="00FF54D1">
              <w:rPr>
                <w:rFonts w:eastAsiaTheme="minorHAnsi"/>
                <w:color w:val="000000"/>
                <w:sz w:val="18"/>
                <w:szCs w:val="18"/>
                <w:lang w:val="en-US" w:eastAsia="en-US"/>
              </w:rPr>
              <w:t>K = cerința de fonduri proprii;</w:t>
            </w:r>
          </w:p>
          <w:p w14:paraId="44FEE586" w14:textId="77777777" w:rsidR="0001798B" w:rsidRPr="00FF54D1" w:rsidRDefault="0001798B" w:rsidP="0001798B">
            <w:pPr>
              <w:autoSpaceDE w:val="0"/>
              <w:autoSpaceDN w:val="0"/>
              <w:adjustRightInd w:val="0"/>
              <w:spacing w:before="200" w:after="200"/>
              <w:ind w:hanging="5"/>
              <w:jc w:val="both"/>
              <w:rPr>
                <w:rFonts w:eastAsiaTheme="minorHAnsi"/>
                <w:color w:val="000000"/>
                <w:sz w:val="18"/>
                <w:szCs w:val="18"/>
                <w:lang w:val="en-US" w:eastAsia="en-US"/>
              </w:rPr>
            </w:pPr>
            <w:r w:rsidRPr="00FF54D1">
              <w:rPr>
                <w:rFonts w:eastAsiaTheme="minorHAnsi"/>
                <w:color w:val="000000"/>
                <w:sz w:val="18"/>
                <w:szCs w:val="18"/>
                <w:lang w:val="en-US" w:eastAsia="en-US"/>
              </w:rPr>
              <w:lastRenderedPageBreak/>
              <w:t>DF = contribuțiile prefinanțate la fondul de garantare al unei CPC necalificate; și</w:t>
            </w:r>
          </w:p>
          <w:p w14:paraId="01B829F0" w14:textId="77777777" w:rsidR="0001798B" w:rsidRPr="00FF54D1" w:rsidRDefault="0001798B" w:rsidP="0001798B">
            <w:pPr>
              <w:autoSpaceDE w:val="0"/>
              <w:autoSpaceDN w:val="0"/>
              <w:adjustRightInd w:val="0"/>
              <w:spacing w:before="200" w:after="200"/>
              <w:ind w:hanging="5"/>
              <w:jc w:val="both"/>
              <w:rPr>
                <w:rFonts w:eastAsiaTheme="minorHAnsi"/>
                <w:color w:val="000000"/>
                <w:sz w:val="18"/>
                <w:szCs w:val="18"/>
                <w:lang w:val="en-US" w:eastAsia="en-US"/>
              </w:rPr>
            </w:pPr>
            <w:r w:rsidRPr="00FF54D1">
              <w:rPr>
                <w:rFonts w:eastAsiaTheme="minorHAnsi"/>
                <w:color w:val="000000"/>
                <w:sz w:val="18"/>
                <w:szCs w:val="18"/>
                <w:lang w:val="en-US" w:eastAsia="en-US"/>
              </w:rPr>
              <w:t>UC = contribuțiile nefinanțate la fondul de garantare al unei CPC necalificate.</w:t>
            </w:r>
          </w:p>
          <w:p w14:paraId="30FE1D7C" w14:textId="112D9104" w:rsidR="0001798B" w:rsidRPr="003B14E9" w:rsidRDefault="0001798B" w:rsidP="0001798B">
            <w:pPr>
              <w:jc w:val="center"/>
              <w:rPr>
                <w:bCs/>
                <w:i/>
                <w:iCs/>
                <w:sz w:val="18"/>
                <w:szCs w:val="18"/>
                <w:lang w:val="ro-MD"/>
              </w:rPr>
            </w:pPr>
            <w:r w:rsidRPr="00FF54D1">
              <w:rPr>
                <w:rFonts w:eastAsiaTheme="minorHAnsi"/>
                <w:b/>
                <w:bCs/>
                <w:color w:val="000000"/>
                <w:sz w:val="18"/>
                <w:szCs w:val="18"/>
                <w:lang w:val="en-US" w:eastAsia="en-US"/>
              </w:rPr>
              <w:t>131.</w:t>
            </w:r>
            <w:r w:rsidRPr="00FF54D1">
              <w:rPr>
                <w:rFonts w:eastAsiaTheme="minorHAnsi"/>
                <w:color w:val="000000"/>
                <w:sz w:val="18"/>
                <w:szCs w:val="18"/>
                <w:lang w:val="en-US" w:eastAsia="en-US"/>
              </w:rPr>
              <w:t xml:space="preserve"> O bancă calculează valorile ponderate la risc ale expunerilor pentru expunerile rezultate din contribuția băncii respective la fondul de garantare al unei CPC necalificate în sensul punctului 132 din Regulamentul nr.109/2018 cu privire la fondurile proprii ale băncilor şi cerinţele de capital prin înmulțirea cu 10 a cerinței de fonduri proprii calculate în conformitate cu punctul 130.</w:t>
            </w:r>
          </w:p>
        </w:tc>
        <w:tc>
          <w:tcPr>
            <w:tcW w:w="1160" w:type="dxa"/>
          </w:tcPr>
          <w:p w14:paraId="1FBDE4A2" w14:textId="26284BBE" w:rsidR="0001798B" w:rsidRPr="003B14E9" w:rsidRDefault="0001798B" w:rsidP="0001798B">
            <w:pPr>
              <w:jc w:val="both"/>
              <w:rPr>
                <w:sz w:val="18"/>
                <w:szCs w:val="18"/>
                <w:lang w:val="ro-MD"/>
              </w:rPr>
            </w:pPr>
            <w:r w:rsidRPr="003B14E9">
              <w:rPr>
                <w:sz w:val="18"/>
                <w:szCs w:val="18"/>
                <w:lang w:val="ro-MD"/>
              </w:rPr>
              <w:lastRenderedPageBreak/>
              <w:t>Compatibil</w:t>
            </w:r>
          </w:p>
        </w:tc>
        <w:tc>
          <w:tcPr>
            <w:tcW w:w="3041" w:type="dxa"/>
          </w:tcPr>
          <w:p w14:paraId="52F8D25F"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2EAB7735"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0308E6ED" w14:textId="77777777" w:rsidR="0001798B" w:rsidRPr="003B14E9" w:rsidRDefault="0001798B" w:rsidP="0001798B">
            <w:pPr>
              <w:jc w:val="both"/>
              <w:rPr>
                <w:sz w:val="18"/>
                <w:szCs w:val="18"/>
                <w:lang w:val="ro-MD"/>
              </w:rPr>
            </w:pPr>
          </w:p>
        </w:tc>
      </w:tr>
      <w:tr w:rsidR="0001798B" w:rsidRPr="003B14E9" w14:paraId="3D24D771" w14:textId="77777777" w:rsidTr="00604EF1">
        <w:trPr>
          <w:trHeight w:val="918"/>
        </w:trPr>
        <w:tc>
          <w:tcPr>
            <w:tcW w:w="4473" w:type="dxa"/>
          </w:tcPr>
          <w:p w14:paraId="5563AB07" w14:textId="43EBCDA4"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i/>
                <w:iCs/>
                <w:color w:val="000000"/>
                <w:sz w:val="19"/>
                <w:szCs w:val="19"/>
                <w:lang w:val="ro-MD" w:eastAsia="en-US"/>
              </w:rPr>
              <w:t xml:space="preserve">Articolul 310 </w:t>
            </w:r>
            <w:r w:rsidRPr="008B4EBA">
              <w:rPr>
                <w:rFonts w:eastAsiaTheme="minorHAnsi"/>
                <w:b/>
                <w:bCs/>
                <w:color w:val="000000"/>
                <w:sz w:val="19"/>
                <w:szCs w:val="19"/>
                <w:lang w:val="ro-MD" w:eastAsia="en-US"/>
              </w:rPr>
              <w:t xml:space="preserve">Cerinţele de fonduri proprii pentru contribuţiile nefinanţate la fondul de garantare al unei CPCC </w:t>
            </w:r>
          </w:p>
          <w:p w14:paraId="7AC1B11D" w14:textId="6BA5042E" w:rsidR="0001798B" w:rsidRPr="003B14E9" w:rsidRDefault="0001798B" w:rsidP="0001798B">
            <w:pPr>
              <w:autoSpaceDE w:val="0"/>
              <w:autoSpaceDN w:val="0"/>
              <w:adjustRightInd w:val="0"/>
              <w:spacing w:before="60" w:after="60"/>
              <w:rPr>
                <w:rFonts w:eastAsiaTheme="minorHAnsi"/>
                <w:i/>
                <w:iCs/>
                <w:color w:val="000000"/>
                <w:sz w:val="19"/>
                <w:szCs w:val="19"/>
                <w:lang w:val="ro-MD" w:eastAsia="en-US"/>
              </w:rPr>
            </w:pPr>
            <w:r w:rsidRPr="003B14E9">
              <w:rPr>
                <w:rFonts w:eastAsiaTheme="minorHAnsi"/>
                <w:color w:val="000000"/>
                <w:sz w:val="19"/>
                <w:szCs w:val="19"/>
                <w:lang w:val="ro-MD"/>
              </w:rPr>
              <w:t>O instituţie aplică o pondere de risc de 0 % contribuţiilor sale nefinanţate la fondul de garantare al unei CPCC.</w:t>
            </w:r>
          </w:p>
        </w:tc>
        <w:tc>
          <w:tcPr>
            <w:tcW w:w="4425" w:type="dxa"/>
            <w:shd w:val="clear" w:color="auto" w:fill="auto"/>
          </w:tcPr>
          <w:p w14:paraId="349E5458" w14:textId="77777777" w:rsidR="0001798B" w:rsidRPr="00FF54D1" w:rsidRDefault="0001798B" w:rsidP="0001798B">
            <w:pPr>
              <w:jc w:val="center"/>
              <w:rPr>
                <w:bCs/>
                <w:i/>
                <w:iCs/>
                <w:sz w:val="18"/>
                <w:szCs w:val="18"/>
                <w:lang w:val="ro-MD" w:eastAsia="en-US"/>
              </w:rPr>
            </w:pPr>
            <w:r w:rsidRPr="00FF54D1">
              <w:rPr>
                <w:bCs/>
                <w:i/>
                <w:iCs/>
                <w:sz w:val="18"/>
                <w:szCs w:val="18"/>
                <w:lang w:val="ro-MD" w:eastAsia="en-US"/>
              </w:rPr>
              <w:t>Secţiunea a 10-a</w:t>
            </w:r>
          </w:p>
          <w:p w14:paraId="391682B8" w14:textId="77777777" w:rsidR="0001798B" w:rsidRPr="00FF54D1" w:rsidRDefault="0001798B" w:rsidP="0001798B">
            <w:pPr>
              <w:jc w:val="center"/>
              <w:rPr>
                <w:b/>
                <w:sz w:val="18"/>
                <w:szCs w:val="18"/>
                <w:lang w:val="ro-MD" w:eastAsia="en-US"/>
              </w:rPr>
            </w:pPr>
            <w:r w:rsidRPr="00FF54D1">
              <w:rPr>
                <w:b/>
                <w:sz w:val="18"/>
                <w:szCs w:val="18"/>
                <w:lang w:val="ro-MD" w:eastAsia="en-US"/>
              </w:rPr>
              <w:t>Cerinţele de fonduri proprii pentru contribuţiile nefinanţate la fondul de garantare al unei CPCC</w:t>
            </w:r>
          </w:p>
          <w:p w14:paraId="2FA1A303" w14:textId="77777777" w:rsidR="0001798B" w:rsidRPr="00FF54D1" w:rsidRDefault="0001798B" w:rsidP="0001798B">
            <w:pPr>
              <w:jc w:val="both"/>
              <w:rPr>
                <w:bCs/>
                <w:sz w:val="18"/>
                <w:szCs w:val="18"/>
                <w:lang w:val="ro-MD" w:eastAsia="en-US"/>
              </w:rPr>
            </w:pPr>
            <w:r w:rsidRPr="00FF54D1">
              <w:rPr>
                <w:b/>
                <w:sz w:val="18"/>
                <w:szCs w:val="18"/>
                <w:lang w:val="ro-MD" w:eastAsia="en-US"/>
              </w:rPr>
              <w:t>132.</w:t>
            </w:r>
            <w:r w:rsidRPr="00FF54D1">
              <w:rPr>
                <w:bCs/>
                <w:sz w:val="18"/>
                <w:szCs w:val="18"/>
                <w:lang w:val="ro-MD" w:eastAsia="en-US"/>
              </w:rPr>
              <w:t xml:space="preserve"> O bancă aplică o pondere de risc de 0 % contribuţiilor sale nefinanţate la fondul de garantare al unei CPCC.</w:t>
            </w:r>
          </w:p>
          <w:p w14:paraId="73B49001" w14:textId="77777777" w:rsidR="0001798B" w:rsidRPr="003B14E9" w:rsidRDefault="0001798B" w:rsidP="0001798B">
            <w:pPr>
              <w:ind w:firstLine="567"/>
              <w:jc w:val="center"/>
              <w:rPr>
                <w:bCs/>
                <w:i/>
                <w:iCs/>
                <w:sz w:val="18"/>
                <w:szCs w:val="18"/>
                <w:lang w:val="ro-MD" w:eastAsia="en-US"/>
              </w:rPr>
            </w:pPr>
          </w:p>
        </w:tc>
        <w:tc>
          <w:tcPr>
            <w:tcW w:w="1160" w:type="dxa"/>
          </w:tcPr>
          <w:p w14:paraId="71057AE9" w14:textId="72EE8832" w:rsidR="0001798B" w:rsidRPr="003B14E9" w:rsidRDefault="0001798B" w:rsidP="0001798B">
            <w:pPr>
              <w:jc w:val="both"/>
              <w:rPr>
                <w:sz w:val="18"/>
                <w:szCs w:val="18"/>
                <w:lang w:val="ro-MD"/>
              </w:rPr>
            </w:pPr>
            <w:r w:rsidRPr="003B14E9">
              <w:rPr>
                <w:sz w:val="18"/>
                <w:szCs w:val="18"/>
                <w:lang w:val="ro-MD"/>
              </w:rPr>
              <w:t>Compatibil</w:t>
            </w:r>
          </w:p>
        </w:tc>
        <w:tc>
          <w:tcPr>
            <w:tcW w:w="3041" w:type="dxa"/>
          </w:tcPr>
          <w:p w14:paraId="7A4922EB"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62CD8F53"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03004A08" w14:textId="77777777" w:rsidR="0001798B" w:rsidRPr="003B14E9" w:rsidRDefault="0001798B" w:rsidP="0001798B">
            <w:pPr>
              <w:jc w:val="both"/>
              <w:rPr>
                <w:sz w:val="18"/>
                <w:szCs w:val="18"/>
                <w:lang w:val="ro-MD"/>
              </w:rPr>
            </w:pPr>
          </w:p>
        </w:tc>
      </w:tr>
      <w:tr w:rsidR="0001798B" w:rsidRPr="003B14E9" w14:paraId="5A9A0897" w14:textId="77777777" w:rsidTr="00604EF1">
        <w:trPr>
          <w:trHeight w:val="918"/>
        </w:trPr>
        <w:tc>
          <w:tcPr>
            <w:tcW w:w="4473" w:type="dxa"/>
          </w:tcPr>
          <w:p w14:paraId="3E1B6EDF" w14:textId="483CE093"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i/>
                <w:iCs/>
                <w:color w:val="000000"/>
                <w:sz w:val="19"/>
                <w:szCs w:val="19"/>
                <w:lang w:val="ro-MD" w:eastAsia="en-US"/>
              </w:rPr>
              <w:t xml:space="preserve">Articolul 311 </w:t>
            </w:r>
            <w:r w:rsidRPr="008B4EBA">
              <w:rPr>
                <w:rFonts w:eastAsiaTheme="minorHAnsi"/>
                <w:b/>
                <w:bCs/>
                <w:color w:val="000000"/>
                <w:sz w:val="19"/>
                <w:szCs w:val="19"/>
                <w:lang w:val="ro-MD" w:eastAsia="en-US"/>
              </w:rPr>
              <w:t xml:space="preserve">Cerinţele de fonduri proprii pentru expunerile faţă de CPC-urile care încetează să îndeplinească anumite condiţii </w:t>
            </w:r>
          </w:p>
          <w:p w14:paraId="3D7944E4" w14:textId="77777777"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(1) Instituţiile aplică tratamentul prevăzut la prezentul articol în cazul în care au luat cunoștinţă, în urma unui anunţ public sau a unei notificări din partea autorităţii competente a unei CPC utilizate de instituţiile respective sau din partea respectivei CPC, de faptul că respectiva CPC nu va mai îndeplini condiţiile privind autorizarea sau recunoașterea, după caz. </w:t>
            </w:r>
          </w:p>
          <w:p w14:paraId="7054BD89" w14:textId="77777777"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(2) În cazul în care condiţia prevăzută la alineatul (1) este îndeplinită, instituţiile, în termen de trei luni din momentul în care iau cunoștinţă despre situaţia menţionată la alineatul respectiv, sau mai devreme dacă autorităţile competente ale instituţiilor respective </w:t>
            </w:r>
            <w:r w:rsidRPr="008B4EBA">
              <w:rPr>
                <w:rFonts w:eastAsiaTheme="minorHAnsi"/>
                <w:color w:val="000000"/>
                <w:sz w:val="19"/>
                <w:szCs w:val="19"/>
                <w:lang w:val="ro-MD" w:eastAsia="en-US"/>
              </w:rPr>
              <w:lastRenderedPageBreak/>
              <w:t xml:space="preserve">impun acest lucru, procedează după cum urmează în ceea ce privește expunerile lor la respectiva CPC: </w:t>
            </w:r>
          </w:p>
          <w:p w14:paraId="7DF82162" w14:textId="77777777" w:rsidR="0001798B" w:rsidRPr="008B4EBA"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(a) aplică tratamentul prevăzut la articolul 306 alineatul (1) litera (b) expunerilor lor din tranzacţii la respectiva CPC; </w:t>
            </w:r>
          </w:p>
          <w:p w14:paraId="3325AD1B" w14:textId="77777777" w:rsidR="0001798B" w:rsidRPr="003B14E9" w:rsidRDefault="0001798B" w:rsidP="0001798B">
            <w:pPr>
              <w:autoSpaceDE w:val="0"/>
              <w:autoSpaceDN w:val="0"/>
              <w:adjustRightInd w:val="0"/>
              <w:spacing w:before="60" w:after="60"/>
              <w:rPr>
                <w:rFonts w:eastAsiaTheme="minorHAnsi"/>
                <w:color w:val="000000"/>
                <w:sz w:val="19"/>
                <w:szCs w:val="19"/>
                <w:lang w:val="ro-MD" w:eastAsia="en-US"/>
              </w:rPr>
            </w:pPr>
            <w:r w:rsidRPr="008B4EBA">
              <w:rPr>
                <w:rFonts w:eastAsiaTheme="minorHAnsi"/>
                <w:color w:val="000000"/>
                <w:sz w:val="19"/>
                <w:szCs w:val="19"/>
                <w:lang w:val="ro-MD" w:eastAsia="en-US"/>
              </w:rPr>
              <w:t xml:space="preserve">(b) aplică tratamentul prevăzut la articolul 309 contribuţiilor lor prefinanţate la fondul de garantare al respectivei CPC și contribuţiilor lor nefinanţate la respectiva CPC; </w:t>
            </w:r>
          </w:p>
          <w:p w14:paraId="289539D4" w14:textId="476EAC11" w:rsidR="0001798B" w:rsidRPr="003B14E9" w:rsidRDefault="0001798B" w:rsidP="0001798B">
            <w:pPr>
              <w:autoSpaceDE w:val="0"/>
              <w:autoSpaceDN w:val="0"/>
              <w:adjustRightInd w:val="0"/>
              <w:spacing w:before="60" w:after="60"/>
              <w:rPr>
                <w:rFonts w:eastAsiaTheme="minorHAnsi"/>
                <w:i/>
                <w:iCs/>
                <w:color w:val="000000"/>
                <w:sz w:val="19"/>
                <w:szCs w:val="19"/>
                <w:lang w:val="ro-MD" w:eastAsia="en-US"/>
              </w:rPr>
            </w:pPr>
            <w:r w:rsidRPr="003B14E9">
              <w:rPr>
                <w:rFonts w:eastAsiaTheme="minorHAnsi"/>
                <w:color w:val="000000"/>
                <w:sz w:val="19"/>
                <w:szCs w:val="19"/>
                <w:lang w:val="ro-MD"/>
              </w:rPr>
              <w:t>(c) tratează expunerile lor faţă de respectiva CPC, altele decât expunerile enumerate la literele (a) și (b) de la prezentul alineat, ca fiind expuneri la o societate, în conformitate cu abordarea standardizată pentru riscul de credit prevăzută în capitolul 2.</w:t>
            </w:r>
          </w:p>
        </w:tc>
        <w:tc>
          <w:tcPr>
            <w:tcW w:w="4425" w:type="dxa"/>
            <w:shd w:val="clear" w:color="auto" w:fill="auto"/>
          </w:tcPr>
          <w:p w14:paraId="7BCBD80C" w14:textId="77777777" w:rsidR="0001798B" w:rsidRPr="003B14E9" w:rsidRDefault="0001798B" w:rsidP="0001798B">
            <w:pPr>
              <w:ind w:firstLine="567"/>
              <w:jc w:val="center"/>
              <w:rPr>
                <w:bCs/>
                <w:i/>
                <w:iCs/>
                <w:sz w:val="18"/>
                <w:szCs w:val="18"/>
                <w:lang w:val="ro-MD"/>
              </w:rPr>
            </w:pPr>
            <w:r w:rsidRPr="003B14E9">
              <w:rPr>
                <w:bCs/>
                <w:i/>
                <w:iCs/>
                <w:sz w:val="18"/>
                <w:szCs w:val="18"/>
                <w:lang w:val="ro-MD"/>
              </w:rPr>
              <w:lastRenderedPageBreak/>
              <w:t>Secţiunea a 11-a</w:t>
            </w:r>
          </w:p>
          <w:p w14:paraId="562C3653" w14:textId="77777777" w:rsidR="0001798B" w:rsidRPr="003B14E9" w:rsidRDefault="0001798B" w:rsidP="0001798B">
            <w:pPr>
              <w:ind w:firstLine="567"/>
              <w:jc w:val="center"/>
              <w:rPr>
                <w:b/>
                <w:sz w:val="18"/>
                <w:szCs w:val="18"/>
                <w:lang w:val="ro-MD"/>
              </w:rPr>
            </w:pPr>
            <w:r w:rsidRPr="003B14E9">
              <w:rPr>
                <w:b/>
                <w:sz w:val="18"/>
                <w:szCs w:val="18"/>
                <w:lang w:val="ro-MD"/>
              </w:rPr>
              <w:t>Cerinţele de fonduri proprii pentru expunerile faţă de CPC-urile care încetează să îndeplinească anumite condiţii</w:t>
            </w:r>
          </w:p>
          <w:p w14:paraId="792CF2A1" w14:textId="77777777" w:rsidR="0001798B" w:rsidRPr="003B14E9" w:rsidRDefault="0001798B" w:rsidP="0001798B">
            <w:pPr>
              <w:ind w:firstLine="567"/>
              <w:jc w:val="both"/>
              <w:rPr>
                <w:bCs/>
                <w:sz w:val="18"/>
                <w:szCs w:val="18"/>
                <w:lang w:val="ro-MD"/>
              </w:rPr>
            </w:pPr>
            <w:r w:rsidRPr="003B14E9">
              <w:rPr>
                <w:b/>
                <w:sz w:val="18"/>
                <w:szCs w:val="18"/>
                <w:lang w:val="ro-MD"/>
              </w:rPr>
              <w:t>133.</w:t>
            </w:r>
            <w:r w:rsidRPr="003B14E9">
              <w:rPr>
                <w:bCs/>
                <w:sz w:val="18"/>
                <w:szCs w:val="18"/>
                <w:lang w:val="ro-MD"/>
              </w:rPr>
              <w:t xml:space="preserve"> Băncile aplică tratamentul prevăzut la prezenta secțiune în cazul în care au luat cunoștinţă, în urma unui anunţ public sau a unei notificări din partea Băncii Naționale a Moldovei a unei CPC utilizate de băncile respective sau din partea respectivei CPC, de faptul că respectiva CPC nu va mai îndeplini condiţiile privind autorizarea sau recunoașterea, după caz.</w:t>
            </w:r>
          </w:p>
          <w:p w14:paraId="4C64FA95" w14:textId="77777777" w:rsidR="0001798B" w:rsidRPr="003B14E9" w:rsidRDefault="0001798B" w:rsidP="0001798B">
            <w:pPr>
              <w:ind w:firstLine="567"/>
              <w:jc w:val="both"/>
              <w:rPr>
                <w:bCs/>
                <w:sz w:val="18"/>
                <w:szCs w:val="18"/>
                <w:lang w:val="ro-MD"/>
              </w:rPr>
            </w:pPr>
            <w:r w:rsidRPr="003B14E9">
              <w:rPr>
                <w:b/>
                <w:sz w:val="18"/>
                <w:szCs w:val="18"/>
                <w:lang w:val="ro-MD"/>
              </w:rPr>
              <w:t>134.</w:t>
            </w:r>
            <w:r w:rsidRPr="003B14E9">
              <w:rPr>
                <w:bCs/>
                <w:sz w:val="18"/>
                <w:szCs w:val="18"/>
                <w:lang w:val="ro-MD"/>
              </w:rPr>
              <w:t xml:space="preserve"> În cazul în care condiţia prevăzută la punctul 133 este îndeplinită, băncile, în termen de trei luni din momentul în care iau cunoștinţă despre situaţia menţionată la punctul respectiv sau mai devreme, dacă Banca Națională a Moldovei impune acest lucru, procedează după cum urmează în ceea ce privește expunerile lor la respectiva CPC:</w:t>
            </w:r>
          </w:p>
          <w:p w14:paraId="58EDF5C7" w14:textId="77777777" w:rsidR="0001798B" w:rsidRPr="003B14E9" w:rsidRDefault="0001798B" w:rsidP="0001798B">
            <w:pPr>
              <w:ind w:firstLine="567"/>
              <w:jc w:val="both"/>
              <w:rPr>
                <w:bCs/>
                <w:sz w:val="18"/>
                <w:szCs w:val="18"/>
                <w:lang w:val="ro-MD"/>
              </w:rPr>
            </w:pPr>
            <w:r w:rsidRPr="003B14E9">
              <w:rPr>
                <w:bCs/>
                <w:sz w:val="18"/>
                <w:szCs w:val="18"/>
                <w:lang w:val="ro-MD"/>
              </w:rPr>
              <w:lastRenderedPageBreak/>
              <w:t>1) aplică tratamentul prevăzut la punctul 122 subpunctul 2) expunerilor lor din tranzacţii la respectiva CPC;</w:t>
            </w:r>
          </w:p>
          <w:p w14:paraId="3BFAB05B" w14:textId="77777777" w:rsidR="0001798B" w:rsidRPr="003B14E9" w:rsidRDefault="0001798B" w:rsidP="0001798B">
            <w:pPr>
              <w:ind w:firstLine="567"/>
              <w:jc w:val="both"/>
              <w:rPr>
                <w:bCs/>
                <w:sz w:val="18"/>
                <w:szCs w:val="18"/>
                <w:lang w:val="ro-MD"/>
              </w:rPr>
            </w:pPr>
            <w:r w:rsidRPr="003B14E9">
              <w:rPr>
                <w:bCs/>
                <w:sz w:val="18"/>
                <w:szCs w:val="18"/>
                <w:lang w:val="ro-MD"/>
              </w:rPr>
              <w:t>2) aplică tratamentul prevăzut la secţiunea a 9-a contribuţiilor lor prefinanţate la fondul de garantare al respectivei CPC și contribuţiilor lor nefinanţate la respectiva CPC;</w:t>
            </w:r>
          </w:p>
          <w:p w14:paraId="1B4C5D77" w14:textId="77777777" w:rsidR="0001798B" w:rsidRPr="003B14E9" w:rsidRDefault="0001798B" w:rsidP="0001798B">
            <w:pPr>
              <w:ind w:firstLine="567"/>
              <w:jc w:val="both"/>
              <w:rPr>
                <w:bCs/>
                <w:sz w:val="18"/>
                <w:szCs w:val="18"/>
                <w:lang w:val="ro-MD"/>
              </w:rPr>
            </w:pPr>
            <w:r w:rsidRPr="003B14E9">
              <w:rPr>
                <w:bCs/>
                <w:sz w:val="18"/>
                <w:szCs w:val="18"/>
                <w:lang w:val="ro-MD"/>
              </w:rPr>
              <w:t>3) tratează expunerile lor faţă de respectiva CPC, altele decât expunerile enumerate la subpunctele 1) și 2) de la prezentul punct, ca fiind expuneri la o societate, în conformitate cu abordarea standardizată pentru riscul de credit prevăzută în Regulamentul nr.111/2018 cu privire la tratamentul riscului de credit pentru bănci potrivit abordării standardizate.</w:t>
            </w:r>
          </w:p>
          <w:p w14:paraId="7FD840D2" w14:textId="77777777" w:rsidR="0001798B" w:rsidRPr="003B14E9" w:rsidRDefault="0001798B" w:rsidP="0001798B">
            <w:pPr>
              <w:jc w:val="center"/>
              <w:rPr>
                <w:bCs/>
                <w:i/>
                <w:iCs/>
                <w:sz w:val="18"/>
                <w:szCs w:val="18"/>
                <w:lang w:val="ro-MD" w:eastAsia="en-US"/>
              </w:rPr>
            </w:pPr>
          </w:p>
        </w:tc>
        <w:tc>
          <w:tcPr>
            <w:tcW w:w="1160" w:type="dxa"/>
          </w:tcPr>
          <w:p w14:paraId="263BAB15" w14:textId="628032A1" w:rsidR="0001798B" w:rsidRPr="003B14E9" w:rsidRDefault="0001798B" w:rsidP="0001798B">
            <w:pPr>
              <w:jc w:val="both"/>
              <w:rPr>
                <w:sz w:val="18"/>
                <w:szCs w:val="18"/>
                <w:lang w:val="en-US"/>
              </w:rPr>
            </w:pPr>
            <w:r w:rsidRPr="003B14E9">
              <w:rPr>
                <w:sz w:val="18"/>
                <w:szCs w:val="18"/>
                <w:lang w:val="ro-MD"/>
              </w:rPr>
              <w:lastRenderedPageBreak/>
              <w:t>Compatibil</w:t>
            </w:r>
          </w:p>
        </w:tc>
        <w:tc>
          <w:tcPr>
            <w:tcW w:w="3041" w:type="dxa"/>
          </w:tcPr>
          <w:p w14:paraId="5A1F0298" w14:textId="77777777" w:rsidR="0001798B" w:rsidRPr="003B14E9" w:rsidRDefault="0001798B" w:rsidP="0001798B">
            <w:pPr>
              <w:rPr>
                <w:sz w:val="18"/>
                <w:szCs w:val="18"/>
                <w:lang w:val="ro-MD"/>
              </w:rPr>
            </w:pPr>
          </w:p>
        </w:tc>
        <w:tc>
          <w:tcPr>
            <w:tcW w:w="1055" w:type="dxa"/>
            <w:tcBorders>
              <w:top w:val="single" w:sz="4" w:space="0" w:color="auto"/>
              <w:bottom w:val="single" w:sz="4" w:space="0" w:color="auto"/>
            </w:tcBorders>
          </w:tcPr>
          <w:p w14:paraId="72B3635F" w14:textId="77777777" w:rsidR="0001798B" w:rsidRPr="003B14E9" w:rsidRDefault="0001798B" w:rsidP="0001798B">
            <w:pPr>
              <w:jc w:val="both"/>
              <w:rPr>
                <w:sz w:val="18"/>
                <w:szCs w:val="18"/>
                <w:lang w:val="ro-MD"/>
              </w:rPr>
            </w:pPr>
          </w:p>
        </w:tc>
        <w:tc>
          <w:tcPr>
            <w:tcW w:w="1330" w:type="dxa"/>
            <w:tcBorders>
              <w:bottom w:val="single" w:sz="4" w:space="0" w:color="auto"/>
            </w:tcBorders>
          </w:tcPr>
          <w:p w14:paraId="66F831C4" w14:textId="77777777" w:rsidR="0001798B" w:rsidRPr="003B14E9" w:rsidRDefault="0001798B" w:rsidP="0001798B">
            <w:pPr>
              <w:jc w:val="both"/>
              <w:rPr>
                <w:sz w:val="18"/>
                <w:szCs w:val="18"/>
                <w:lang w:val="ro-MD"/>
              </w:rPr>
            </w:pPr>
          </w:p>
        </w:tc>
      </w:tr>
    </w:tbl>
    <w:p w14:paraId="34BD39BE" w14:textId="77777777" w:rsidR="00493520" w:rsidRPr="003B14E9" w:rsidRDefault="00493520">
      <w:pPr>
        <w:rPr>
          <w:sz w:val="18"/>
          <w:szCs w:val="18"/>
          <w:lang w:val="ro-MD"/>
        </w:rPr>
      </w:pPr>
    </w:p>
    <w:sectPr w:rsidR="00493520" w:rsidRPr="003B14E9" w:rsidSect="001432F6">
      <w:headerReference w:type="even" r:id="rId92"/>
      <w:headerReference w:type="default" r:id="rId93"/>
      <w:footerReference w:type="even" r:id="rId94"/>
      <w:footerReference w:type="default" r:id="rId95"/>
      <w:headerReference w:type="first" r:id="rId96"/>
      <w:footerReference w:type="first" r:id="rId97"/>
      <w:pgSz w:w="16838" w:h="11906" w:orient="landscape" w:code="9"/>
      <w:pgMar w:top="899" w:right="1134"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E4F42" w14:textId="77777777" w:rsidR="00320AD8" w:rsidRDefault="00320AD8" w:rsidP="00525701">
      <w:r>
        <w:separator/>
      </w:r>
    </w:p>
  </w:endnote>
  <w:endnote w:type="continuationSeparator" w:id="0">
    <w:p w14:paraId="4B000F8C" w14:textId="77777777" w:rsidR="00320AD8" w:rsidRDefault="00320AD8"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15"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15"/>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32366E02" w14:textId="7EA5F68A" w:rsidR="00494263" w:rsidRDefault="00494263" w:rsidP="005257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64A">
      <w:rPr>
        <w:rStyle w:val="PageNumber"/>
        <w:noProof/>
      </w:rPr>
      <w:t>18</w:t>
    </w:r>
    <w:r>
      <w:rPr>
        <w:rStyle w:val="PageNumber"/>
      </w:rPr>
      <w:fldChar w:fldCharType="end"/>
    </w:r>
  </w:p>
  <w:p w14:paraId="6D270E1A" w14:textId="77777777" w:rsidR="00494263" w:rsidRDefault="00494263" w:rsidP="00525701">
    <w:pPr>
      <w:pStyle w:val="Footer"/>
      <w:ind w:right="360"/>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7B2B"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16" w:name="TITUS1FooterPrimary"/>
    <w:r>
      <w:rPr>
        <w:rStyle w:val="PageNumber"/>
        <w:rFonts w:ascii="PermianSansTypeface" w:hAnsi="PermianSansTypeface"/>
        <w:b/>
        <w:color w:val="000000"/>
        <w:sz w:val="16"/>
        <w:lang w:val="en-US"/>
      </w:rPr>
      <w:t xml:space="preserve"> </w:t>
    </w:r>
  </w:p>
  <w:p w14:paraId="5B6503C0"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16"/>
  <w:p w14:paraId="4D4DC281" w14:textId="4AB1466F" w:rsidR="00494263" w:rsidRDefault="00494263" w:rsidP="005F3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64A">
      <w:rPr>
        <w:rStyle w:val="PageNumber"/>
        <w:noProof/>
      </w:rPr>
      <w:t>1</w:t>
    </w:r>
    <w:r>
      <w:rPr>
        <w:rStyle w:val="PageNumber"/>
      </w:rPr>
      <w:fldChar w:fldCharType="end"/>
    </w:r>
  </w:p>
  <w:p w14:paraId="3B2B9BF7" w14:textId="77777777" w:rsidR="00494263" w:rsidRDefault="00494263" w:rsidP="005F3A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70EB" w14:textId="77777777" w:rsidR="00494263" w:rsidRDefault="004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9F1F6" w14:textId="77777777" w:rsidR="00320AD8" w:rsidRDefault="00320AD8" w:rsidP="00525701">
      <w:r>
        <w:separator/>
      </w:r>
    </w:p>
  </w:footnote>
  <w:footnote w:type="continuationSeparator" w:id="0">
    <w:p w14:paraId="492BFB86" w14:textId="77777777" w:rsidR="00320AD8" w:rsidRDefault="00320AD8"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09F6" w14:textId="77777777" w:rsidR="00494263" w:rsidRDefault="00494263" w:rsidP="00525701">
    <w:pPr>
      <w:pStyle w:val="Header"/>
      <w:jc w:val="right"/>
    </w:pPr>
    <w:bookmarkStart w:id="13" w:name="TITUS1HeaderEvenPages"/>
    <w:r>
      <w:t xml:space="preserve"> </w:t>
    </w:r>
  </w:p>
  <w:bookmarkEnd w:id="13"/>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00E51" w14:textId="77777777" w:rsidR="00494263" w:rsidRDefault="00494263" w:rsidP="00525701">
    <w:pPr>
      <w:pStyle w:val="Header"/>
      <w:jc w:val="right"/>
    </w:pPr>
    <w:bookmarkStart w:id="14" w:name="TITUS1HeaderPrimary"/>
    <w:r>
      <w:t xml:space="preserve"> </w:t>
    </w:r>
  </w:p>
  <w:bookmarkEnd w:id="14"/>
  <w:p w14:paraId="7E223774" w14:textId="77777777" w:rsidR="00494263" w:rsidRDefault="00494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94CA"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9"/>
  </w:num>
  <w:num w:numId="2">
    <w:abstractNumId w:val="2"/>
  </w:num>
  <w:num w:numId="3">
    <w:abstractNumId w:val="9"/>
  </w:num>
  <w:num w:numId="4">
    <w:abstractNumId w:val="11"/>
  </w:num>
  <w:num w:numId="5">
    <w:abstractNumId w:val="7"/>
  </w:num>
  <w:num w:numId="6">
    <w:abstractNumId w:val="18"/>
  </w:num>
  <w:num w:numId="7">
    <w:abstractNumId w:val="16"/>
  </w:num>
  <w:num w:numId="8">
    <w:abstractNumId w:val="15"/>
  </w:num>
  <w:num w:numId="9">
    <w:abstractNumId w:val="25"/>
  </w:num>
  <w:num w:numId="10">
    <w:abstractNumId w:val="8"/>
  </w:num>
  <w:num w:numId="11">
    <w:abstractNumId w:val="26"/>
  </w:num>
  <w:num w:numId="12">
    <w:abstractNumId w:val="3"/>
  </w:num>
  <w:num w:numId="13">
    <w:abstractNumId w:val="12"/>
  </w:num>
  <w:num w:numId="14">
    <w:abstractNumId w:val="4"/>
  </w:num>
  <w:num w:numId="15">
    <w:abstractNumId w:val="6"/>
  </w:num>
  <w:num w:numId="16">
    <w:abstractNumId w:val="17"/>
  </w:num>
  <w:num w:numId="17">
    <w:abstractNumId w:val="22"/>
  </w:num>
  <w:num w:numId="18">
    <w:abstractNumId w:val="21"/>
  </w:num>
  <w:num w:numId="19">
    <w:abstractNumId w:val="23"/>
  </w:num>
  <w:num w:numId="20">
    <w:abstractNumId w:val="1"/>
  </w:num>
  <w:num w:numId="21">
    <w:abstractNumId w:val="13"/>
  </w:num>
  <w:num w:numId="22">
    <w:abstractNumId w:val="20"/>
  </w:num>
  <w:num w:numId="23">
    <w:abstractNumId w:val="0"/>
  </w:num>
  <w:num w:numId="24">
    <w:abstractNumId w:val="24"/>
  </w:num>
  <w:num w:numId="25">
    <w:abstractNumId w:val="10"/>
  </w:num>
  <w:num w:numId="26">
    <w:abstractNumId w:val="14"/>
  </w:num>
  <w:num w:numId="2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73"/>
    <w:rsid w:val="00010D81"/>
    <w:rsid w:val="000158D2"/>
    <w:rsid w:val="0001798B"/>
    <w:rsid w:val="0002546B"/>
    <w:rsid w:val="000335E0"/>
    <w:rsid w:val="000473F3"/>
    <w:rsid w:val="00052FA0"/>
    <w:rsid w:val="0005447A"/>
    <w:rsid w:val="00060B1B"/>
    <w:rsid w:val="00074E4C"/>
    <w:rsid w:val="0007705C"/>
    <w:rsid w:val="000835E1"/>
    <w:rsid w:val="00096474"/>
    <w:rsid w:val="000A29BF"/>
    <w:rsid w:val="000A3B3F"/>
    <w:rsid w:val="000A5F47"/>
    <w:rsid w:val="000B234D"/>
    <w:rsid w:val="000D1910"/>
    <w:rsid w:val="000D1A25"/>
    <w:rsid w:val="000D35FB"/>
    <w:rsid w:val="000D761E"/>
    <w:rsid w:val="000D7CA1"/>
    <w:rsid w:val="000E24D6"/>
    <w:rsid w:val="000E329A"/>
    <w:rsid w:val="000F1893"/>
    <w:rsid w:val="001015FD"/>
    <w:rsid w:val="00114F17"/>
    <w:rsid w:val="00117FF8"/>
    <w:rsid w:val="00136C35"/>
    <w:rsid w:val="00141A4D"/>
    <w:rsid w:val="00142B82"/>
    <w:rsid w:val="001432F6"/>
    <w:rsid w:val="00143DF7"/>
    <w:rsid w:val="001531F1"/>
    <w:rsid w:val="00155E00"/>
    <w:rsid w:val="0015608E"/>
    <w:rsid w:val="00157FF4"/>
    <w:rsid w:val="00163F5B"/>
    <w:rsid w:val="00171800"/>
    <w:rsid w:val="00175747"/>
    <w:rsid w:val="00180CC3"/>
    <w:rsid w:val="00190B87"/>
    <w:rsid w:val="00191F99"/>
    <w:rsid w:val="00191FA2"/>
    <w:rsid w:val="001A1FB8"/>
    <w:rsid w:val="001B1C01"/>
    <w:rsid w:val="001C69FC"/>
    <w:rsid w:val="001D7229"/>
    <w:rsid w:val="001D72F3"/>
    <w:rsid w:val="001F5A07"/>
    <w:rsid w:val="001F6AF5"/>
    <w:rsid w:val="002038FD"/>
    <w:rsid w:val="00221B89"/>
    <w:rsid w:val="00225B07"/>
    <w:rsid w:val="00231F49"/>
    <w:rsid w:val="0024642E"/>
    <w:rsid w:val="00247DEC"/>
    <w:rsid w:val="00273C2C"/>
    <w:rsid w:val="00273D6E"/>
    <w:rsid w:val="00274506"/>
    <w:rsid w:val="00283894"/>
    <w:rsid w:val="00284EC0"/>
    <w:rsid w:val="00290406"/>
    <w:rsid w:val="00290DDA"/>
    <w:rsid w:val="0029210A"/>
    <w:rsid w:val="00293EEC"/>
    <w:rsid w:val="002A0E3F"/>
    <w:rsid w:val="002A2E6B"/>
    <w:rsid w:val="002A34C7"/>
    <w:rsid w:val="002A4007"/>
    <w:rsid w:val="002B630E"/>
    <w:rsid w:val="002E144D"/>
    <w:rsid w:val="002E7BD3"/>
    <w:rsid w:val="002F30E6"/>
    <w:rsid w:val="00320AD8"/>
    <w:rsid w:val="00326AB9"/>
    <w:rsid w:val="00333386"/>
    <w:rsid w:val="003343BA"/>
    <w:rsid w:val="00335B75"/>
    <w:rsid w:val="003409C8"/>
    <w:rsid w:val="00343A8F"/>
    <w:rsid w:val="00344B19"/>
    <w:rsid w:val="00353CAE"/>
    <w:rsid w:val="00355332"/>
    <w:rsid w:val="00355BF7"/>
    <w:rsid w:val="00362849"/>
    <w:rsid w:val="003B14E9"/>
    <w:rsid w:val="003B5C50"/>
    <w:rsid w:val="003B74E7"/>
    <w:rsid w:val="003B786B"/>
    <w:rsid w:val="003C0E44"/>
    <w:rsid w:val="003C52CB"/>
    <w:rsid w:val="003C6504"/>
    <w:rsid w:val="003D574A"/>
    <w:rsid w:val="003E0287"/>
    <w:rsid w:val="00411085"/>
    <w:rsid w:val="00414194"/>
    <w:rsid w:val="00415A32"/>
    <w:rsid w:val="00417DF0"/>
    <w:rsid w:val="0043016A"/>
    <w:rsid w:val="00433F10"/>
    <w:rsid w:val="00437156"/>
    <w:rsid w:val="004554A7"/>
    <w:rsid w:val="00460FD0"/>
    <w:rsid w:val="00462A87"/>
    <w:rsid w:val="00463AF3"/>
    <w:rsid w:val="004642C3"/>
    <w:rsid w:val="0046466E"/>
    <w:rsid w:val="004651DF"/>
    <w:rsid w:val="00473066"/>
    <w:rsid w:val="0048260B"/>
    <w:rsid w:val="00486DD1"/>
    <w:rsid w:val="0049096A"/>
    <w:rsid w:val="00493520"/>
    <w:rsid w:val="00493E4B"/>
    <w:rsid w:val="00494263"/>
    <w:rsid w:val="004A26A6"/>
    <w:rsid w:val="004B655A"/>
    <w:rsid w:val="004B68E0"/>
    <w:rsid w:val="004B7DDD"/>
    <w:rsid w:val="004C56E7"/>
    <w:rsid w:val="004D207A"/>
    <w:rsid w:val="004E328B"/>
    <w:rsid w:val="0051151B"/>
    <w:rsid w:val="0052222B"/>
    <w:rsid w:val="00523874"/>
    <w:rsid w:val="005248DD"/>
    <w:rsid w:val="0052508A"/>
    <w:rsid w:val="00525701"/>
    <w:rsid w:val="00536A18"/>
    <w:rsid w:val="00536C54"/>
    <w:rsid w:val="00537105"/>
    <w:rsid w:val="00543997"/>
    <w:rsid w:val="005442AD"/>
    <w:rsid w:val="00562F8E"/>
    <w:rsid w:val="0056508D"/>
    <w:rsid w:val="005665A7"/>
    <w:rsid w:val="005705BD"/>
    <w:rsid w:val="00597143"/>
    <w:rsid w:val="005A331E"/>
    <w:rsid w:val="005B071D"/>
    <w:rsid w:val="005B0854"/>
    <w:rsid w:val="005B1E41"/>
    <w:rsid w:val="005B2ECE"/>
    <w:rsid w:val="005B573D"/>
    <w:rsid w:val="005C0FC4"/>
    <w:rsid w:val="005C16D2"/>
    <w:rsid w:val="005C1753"/>
    <w:rsid w:val="005C212B"/>
    <w:rsid w:val="005D353E"/>
    <w:rsid w:val="005D47BC"/>
    <w:rsid w:val="005E02AD"/>
    <w:rsid w:val="005F3A73"/>
    <w:rsid w:val="00601307"/>
    <w:rsid w:val="00603294"/>
    <w:rsid w:val="00604EF1"/>
    <w:rsid w:val="0061243E"/>
    <w:rsid w:val="006162E3"/>
    <w:rsid w:val="00622402"/>
    <w:rsid w:val="00630FC2"/>
    <w:rsid w:val="006315F5"/>
    <w:rsid w:val="006330D9"/>
    <w:rsid w:val="00633EC7"/>
    <w:rsid w:val="006359A5"/>
    <w:rsid w:val="00641B57"/>
    <w:rsid w:val="0064379E"/>
    <w:rsid w:val="00655D26"/>
    <w:rsid w:val="00673801"/>
    <w:rsid w:val="00676ADA"/>
    <w:rsid w:val="00676F18"/>
    <w:rsid w:val="00691EF3"/>
    <w:rsid w:val="0069358D"/>
    <w:rsid w:val="006951EC"/>
    <w:rsid w:val="006A762F"/>
    <w:rsid w:val="006B1661"/>
    <w:rsid w:val="006B330A"/>
    <w:rsid w:val="006B47BA"/>
    <w:rsid w:val="006B649F"/>
    <w:rsid w:val="006C2256"/>
    <w:rsid w:val="006C2AFA"/>
    <w:rsid w:val="006C3D5C"/>
    <w:rsid w:val="006D28B5"/>
    <w:rsid w:val="006D3679"/>
    <w:rsid w:val="006D3C0B"/>
    <w:rsid w:val="006E643D"/>
    <w:rsid w:val="00703E16"/>
    <w:rsid w:val="00707266"/>
    <w:rsid w:val="007110D4"/>
    <w:rsid w:val="00721DC2"/>
    <w:rsid w:val="00726A49"/>
    <w:rsid w:val="007316C3"/>
    <w:rsid w:val="0073676A"/>
    <w:rsid w:val="007471EF"/>
    <w:rsid w:val="00750212"/>
    <w:rsid w:val="00752E26"/>
    <w:rsid w:val="00755D83"/>
    <w:rsid w:val="00757F5A"/>
    <w:rsid w:val="0076289C"/>
    <w:rsid w:val="007761CB"/>
    <w:rsid w:val="00776C7C"/>
    <w:rsid w:val="007779EA"/>
    <w:rsid w:val="00780AF5"/>
    <w:rsid w:val="007910DD"/>
    <w:rsid w:val="00793EE1"/>
    <w:rsid w:val="007A0B54"/>
    <w:rsid w:val="007A1BC5"/>
    <w:rsid w:val="007A3DB2"/>
    <w:rsid w:val="007B1192"/>
    <w:rsid w:val="007B564C"/>
    <w:rsid w:val="007C7951"/>
    <w:rsid w:val="007E4E9E"/>
    <w:rsid w:val="007F3499"/>
    <w:rsid w:val="007F3A2B"/>
    <w:rsid w:val="00800969"/>
    <w:rsid w:val="0080142B"/>
    <w:rsid w:val="00805F71"/>
    <w:rsid w:val="00820B0A"/>
    <w:rsid w:val="008231F0"/>
    <w:rsid w:val="008247F9"/>
    <w:rsid w:val="008339BB"/>
    <w:rsid w:val="00833F7C"/>
    <w:rsid w:val="00837BFE"/>
    <w:rsid w:val="0084486F"/>
    <w:rsid w:val="00852E92"/>
    <w:rsid w:val="00857D50"/>
    <w:rsid w:val="0086484D"/>
    <w:rsid w:val="008774C1"/>
    <w:rsid w:val="0088389F"/>
    <w:rsid w:val="008B2D5D"/>
    <w:rsid w:val="008B4EBA"/>
    <w:rsid w:val="008B6702"/>
    <w:rsid w:val="008B6B86"/>
    <w:rsid w:val="008C322C"/>
    <w:rsid w:val="008C673E"/>
    <w:rsid w:val="008D02C1"/>
    <w:rsid w:val="008D5BB4"/>
    <w:rsid w:val="008E002B"/>
    <w:rsid w:val="008F0CCD"/>
    <w:rsid w:val="008F1030"/>
    <w:rsid w:val="008F4A7D"/>
    <w:rsid w:val="008F6172"/>
    <w:rsid w:val="0090397D"/>
    <w:rsid w:val="0091054F"/>
    <w:rsid w:val="009117EA"/>
    <w:rsid w:val="00923320"/>
    <w:rsid w:val="00927289"/>
    <w:rsid w:val="009356D7"/>
    <w:rsid w:val="0093615D"/>
    <w:rsid w:val="0093681A"/>
    <w:rsid w:val="0094579F"/>
    <w:rsid w:val="00965FBC"/>
    <w:rsid w:val="00976963"/>
    <w:rsid w:val="009A7894"/>
    <w:rsid w:val="009B64E9"/>
    <w:rsid w:val="009C7033"/>
    <w:rsid w:val="009E0264"/>
    <w:rsid w:val="009E0906"/>
    <w:rsid w:val="009E22E2"/>
    <w:rsid w:val="009E6B87"/>
    <w:rsid w:val="009E6DDE"/>
    <w:rsid w:val="009E7064"/>
    <w:rsid w:val="00A02580"/>
    <w:rsid w:val="00A039C8"/>
    <w:rsid w:val="00A175FD"/>
    <w:rsid w:val="00A221F8"/>
    <w:rsid w:val="00A23052"/>
    <w:rsid w:val="00A256DB"/>
    <w:rsid w:val="00A319E1"/>
    <w:rsid w:val="00A509EE"/>
    <w:rsid w:val="00A55FA4"/>
    <w:rsid w:val="00A63884"/>
    <w:rsid w:val="00A664C0"/>
    <w:rsid w:val="00A70A3E"/>
    <w:rsid w:val="00A73010"/>
    <w:rsid w:val="00A76A65"/>
    <w:rsid w:val="00A77BB5"/>
    <w:rsid w:val="00A85493"/>
    <w:rsid w:val="00A8566D"/>
    <w:rsid w:val="00A97FAA"/>
    <w:rsid w:val="00AB0C1C"/>
    <w:rsid w:val="00AB1449"/>
    <w:rsid w:val="00AB5BB4"/>
    <w:rsid w:val="00AC2607"/>
    <w:rsid w:val="00AD1A65"/>
    <w:rsid w:val="00AE2643"/>
    <w:rsid w:val="00AE4669"/>
    <w:rsid w:val="00AF0201"/>
    <w:rsid w:val="00B020C7"/>
    <w:rsid w:val="00B02A55"/>
    <w:rsid w:val="00B0686E"/>
    <w:rsid w:val="00B123E5"/>
    <w:rsid w:val="00B15249"/>
    <w:rsid w:val="00B2032C"/>
    <w:rsid w:val="00B20C8C"/>
    <w:rsid w:val="00B32EDF"/>
    <w:rsid w:val="00B40AF5"/>
    <w:rsid w:val="00B43029"/>
    <w:rsid w:val="00B44FE3"/>
    <w:rsid w:val="00B5508E"/>
    <w:rsid w:val="00B61078"/>
    <w:rsid w:val="00B634FF"/>
    <w:rsid w:val="00B76E7C"/>
    <w:rsid w:val="00B8028B"/>
    <w:rsid w:val="00B81AAF"/>
    <w:rsid w:val="00B8613A"/>
    <w:rsid w:val="00B87429"/>
    <w:rsid w:val="00B93467"/>
    <w:rsid w:val="00BA776E"/>
    <w:rsid w:val="00BB0BD3"/>
    <w:rsid w:val="00BB297A"/>
    <w:rsid w:val="00BB4169"/>
    <w:rsid w:val="00BD2C17"/>
    <w:rsid w:val="00BD6835"/>
    <w:rsid w:val="00BD773B"/>
    <w:rsid w:val="00BE33CD"/>
    <w:rsid w:val="00BF2708"/>
    <w:rsid w:val="00BF6BFA"/>
    <w:rsid w:val="00C03FFC"/>
    <w:rsid w:val="00C07C55"/>
    <w:rsid w:val="00C11CD1"/>
    <w:rsid w:val="00C26A4B"/>
    <w:rsid w:val="00C2776A"/>
    <w:rsid w:val="00C30735"/>
    <w:rsid w:val="00C32A0E"/>
    <w:rsid w:val="00C51731"/>
    <w:rsid w:val="00C5551E"/>
    <w:rsid w:val="00C61EED"/>
    <w:rsid w:val="00C7058D"/>
    <w:rsid w:val="00C91850"/>
    <w:rsid w:val="00C957F1"/>
    <w:rsid w:val="00CA1B43"/>
    <w:rsid w:val="00CA5654"/>
    <w:rsid w:val="00CA5D29"/>
    <w:rsid w:val="00CB1B13"/>
    <w:rsid w:val="00CB74E2"/>
    <w:rsid w:val="00CC0669"/>
    <w:rsid w:val="00CC518E"/>
    <w:rsid w:val="00CC5E8E"/>
    <w:rsid w:val="00D2227B"/>
    <w:rsid w:val="00D27281"/>
    <w:rsid w:val="00D27703"/>
    <w:rsid w:val="00D3131C"/>
    <w:rsid w:val="00D32ED2"/>
    <w:rsid w:val="00D338C2"/>
    <w:rsid w:val="00D345BE"/>
    <w:rsid w:val="00D35BF7"/>
    <w:rsid w:val="00D40B18"/>
    <w:rsid w:val="00D51993"/>
    <w:rsid w:val="00D55CE9"/>
    <w:rsid w:val="00DA1687"/>
    <w:rsid w:val="00DA2C4E"/>
    <w:rsid w:val="00DB794C"/>
    <w:rsid w:val="00DC0510"/>
    <w:rsid w:val="00DC39EF"/>
    <w:rsid w:val="00DC3F6B"/>
    <w:rsid w:val="00DC5378"/>
    <w:rsid w:val="00DC68B0"/>
    <w:rsid w:val="00DC71C2"/>
    <w:rsid w:val="00DC7867"/>
    <w:rsid w:val="00DD3347"/>
    <w:rsid w:val="00DD7F8C"/>
    <w:rsid w:val="00DE176B"/>
    <w:rsid w:val="00DE4E20"/>
    <w:rsid w:val="00DE6B37"/>
    <w:rsid w:val="00DF075A"/>
    <w:rsid w:val="00DF52A9"/>
    <w:rsid w:val="00E0286A"/>
    <w:rsid w:val="00E04F44"/>
    <w:rsid w:val="00E1136B"/>
    <w:rsid w:val="00E11E52"/>
    <w:rsid w:val="00E15328"/>
    <w:rsid w:val="00E17F25"/>
    <w:rsid w:val="00E256A7"/>
    <w:rsid w:val="00E46451"/>
    <w:rsid w:val="00E538FD"/>
    <w:rsid w:val="00E5655A"/>
    <w:rsid w:val="00E71657"/>
    <w:rsid w:val="00E71814"/>
    <w:rsid w:val="00E725CD"/>
    <w:rsid w:val="00E746C4"/>
    <w:rsid w:val="00E74891"/>
    <w:rsid w:val="00E74EC4"/>
    <w:rsid w:val="00E8669B"/>
    <w:rsid w:val="00E954CD"/>
    <w:rsid w:val="00EA6955"/>
    <w:rsid w:val="00EC4384"/>
    <w:rsid w:val="00EC52D7"/>
    <w:rsid w:val="00ED072E"/>
    <w:rsid w:val="00EE3354"/>
    <w:rsid w:val="00EF33ED"/>
    <w:rsid w:val="00EF583B"/>
    <w:rsid w:val="00F14401"/>
    <w:rsid w:val="00F2385A"/>
    <w:rsid w:val="00F2564A"/>
    <w:rsid w:val="00F35F38"/>
    <w:rsid w:val="00F35FD8"/>
    <w:rsid w:val="00F36FE7"/>
    <w:rsid w:val="00F470F5"/>
    <w:rsid w:val="00F476E1"/>
    <w:rsid w:val="00F5116F"/>
    <w:rsid w:val="00F55A6C"/>
    <w:rsid w:val="00F64246"/>
    <w:rsid w:val="00F75D4E"/>
    <w:rsid w:val="00F808E9"/>
    <w:rsid w:val="00F84AA3"/>
    <w:rsid w:val="00F8686A"/>
    <w:rsid w:val="00FA13BC"/>
    <w:rsid w:val="00FA16E9"/>
    <w:rsid w:val="00FC39D6"/>
    <w:rsid w:val="00FC7FEA"/>
    <w:rsid w:val="00FD1218"/>
    <w:rsid w:val="00FD5282"/>
    <w:rsid w:val="00FE40F7"/>
    <w:rsid w:val="00FE6833"/>
    <w:rsid w:val="00FF091F"/>
    <w:rsid w:val="00FF2F52"/>
    <w:rsid w:val="00FF54D1"/>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7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rsid w:val="005F3A73"/>
    <w:pPr>
      <w:tabs>
        <w:tab w:val="center" w:pos="4677"/>
        <w:tab w:val="right" w:pos="9355"/>
      </w:tabs>
    </w:pPr>
  </w:style>
  <w:style w:type="character" w:customStyle="1" w:styleId="FooterChar">
    <w:name w:val="Footer Char"/>
    <w:basedOn w:val="DefaultParagraphFont"/>
    <w:link w:val="Footer"/>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jpe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image" Target="media/image22.png"/><Relationship Id="rId37" Type="http://schemas.openxmlformats.org/officeDocument/2006/relationships/image" Target="media/image27.jpe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jpeg"/><Relationship Id="rId79" Type="http://schemas.openxmlformats.org/officeDocument/2006/relationships/image" Target="media/image69.jpeg"/><Relationship Id="rId5" Type="http://schemas.openxmlformats.org/officeDocument/2006/relationships/numbering" Target="numbering.xml"/><Relationship Id="rId90" Type="http://schemas.openxmlformats.org/officeDocument/2006/relationships/image" Target="media/image80.png"/><Relationship Id="rId95" Type="http://schemas.openxmlformats.org/officeDocument/2006/relationships/footer" Target="footer2.xml"/><Relationship Id="rId22" Type="http://schemas.openxmlformats.org/officeDocument/2006/relationships/image" Target="media/image12.png"/><Relationship Id="rId27" Type="http://schemas.openxmlformats.org/officeDocument/2006/relationships/image" Target="media/image17.jpeg"/><Relationship Id="rId43" Type="http://schemas.openxmlformats.org/officeDocument/2006/relationships/image" Target="media/image33.png"/><Relationship Id="rId48" Type="http://schemas.openxmlformats.org/officeDocument/2006/relationships/image" Target="media/image38.jpeg"/><Relationship Id="rId64" Type="http://schemas.openxmlformats.org/officeDocument/2006/relationships/image" Target="media/image54.png"/><Relationship Id="rId69" Type="http://schemas.openxmlformats.org/officeDocument/2006/relationships/image" Target="media/image59.jpeg"/><Relationship Id="rId80" Type="http://schemas.openxmlformats.org/officeDocument/2006/relationships/image" Target="media/image70.jpeg"/><Relationship Id="rId85" Type="http://schemas.openxmlformats.org/officeDocument/2006/relationships/image" Target="media/image75.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jpeg"/><Relationship Id="rId67" Type="http://schemas.openxmlformats.org/officeDocument/2006/relationships/image" Target="media/image57.jpe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jpeg"/><Relationship Id="rId70" Type="http://schemas.openxmlformats.org/officeDocument/2006/relationships/image" Target="media/image60.jpe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jpe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emf"/><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jpeg"/><Relationship Id="rId86" Type="http://schemas.openxmlformats.org/officeDocument/2006/relationships/image" Target="media/image76.pn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emf"/><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jpeg"/><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image" Target="media/image61.png"/><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jpeg"/><Relationship Id="rId40" Type="http://schemas.openxmlformats.org/officeDocument/2006/relationships/image" Target="media/image30.png"/><Relationship Id="rId45" Type="http://schemas.openxmlformats.org/officeDocument/2006/relationships/image" Target="media/image35.jpeg"/><Relationship Id="rId66" Type="http://schemas.openxmlformats.org/officeDocument/2006/relationships/image" Target="media/image56.jpeg"/><Relationship Id="rId87" Type="http://schemas.openxmlformats.org/officeDocument/2006/relationships/image" Target="media/image77.png"/><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image" Target="media/image9.emf"/><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jpeg"/><Relationship Id="rId77" Type="http://schemas.openxmlformats.org/officeDocument/2006/relationships/image" Target="media/image67.png"/><Relationship Id="rId8" Type="http://schemas.openxmlformats.org/officeDocument/2006/relationships/webSettings" Target="webSettings.xml"/><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E8EF-D770-47C2-9539-84EA45E4CFA8}">
  <ds:schemaRefs>
    <ds:schemaRef ds:uri="http://schemas.microsoft.com/sharepoint/v3/contenttype/forms"/>
  </ds:schemaRefs>
</ds:datastoreItem>
</file>

<file path=customXml/itemProps2.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9DB34-F072-49B3-9728-9D0A86EF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34964</Words>
  <Characters>199297</Characters>
  <Application>Microsoft Office Word</Application>
  <DocSecurity>0</DocSecurity>
  <Lines>1660</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2024-04-17T14:50:00Z</cp:lastPrinted>
  <dcterms:created xsi:type="dcterms:W3CDTF">2024-04-17T14:51:00Z</dcterms:created>
  <dcterms:modified xsi:type="dcterms:W3CDTF">2024-04-17T14:51:00Z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ies>
</file>